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521"/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</w:pPr>
      <w:r/>
      <w:bookmarkStart w:id="0" w:name="_Toc187582501"/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  <w:t xml:space="preserve">Приложение № 1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</w:r>
    </w:p>
    <w:p>
      <w:pPr>
        <w:ind w:left="6521"/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  <w:t xml:space="preserve">к приказу Департамента градостроительного развития Томской области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</w:r>
    </w:p>
    <w:p>
      <w:pPr>
        <w:ind w:left="6521"/>
        <w:rPr>
          <w:rFonts w:ascii="PT Astra Serif" w:hAnsi="PT Astra Serif"/>
          <w:color w:val="000000" w:themeColor="text1"/>
          <w:sz w:val="24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  <w:t xml:space="preserve">от</w:t>
      </w:r>
      <w:r>
        <w:rPr>
          <w:rFonts w:ascii="PT Astra Serif" w:hAnsi="PT Astra Serif" w:cs="PT Astra Serif"/>
          <w:color w:val="000000" w:themeColor="text1"/>
          <w:sz w:val="24"/>
          <w:szCs w:val="28"/>
        </w:rPr>
        <w:t xml:space="preserve"> _________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8"/>
        </w:rPr>
        <w:t xml:space="preserve">№</w:t>
      </w:r>
      <w:r>
        <w:rPr>
          <w:rFonts w:ascii="PT Astra Serif" w:hAnsi="PT Astra Serif" w:cs="PT Astra Serif"/>
          <w:color w:val="000000" w:themeColor="text1"/>
          <w:sz w:val="24"/>
          <w:szCs w:val="28"/>
        </w:rPr>
        <w:t xml:space="preserve"> ___________</w:t>
      </w:r>
      <w:r>
        <w:rPr>
          <w:rFonts w:ascii="PT Astra Serif" w:hAnsi="PT Astra Serif"/>
          <w:color w:val="000000" w:themeColor="text1"/>
          <w:sz w:val="24"/>
          <w:szCs w:val="28"/>
        </w:rPr>
      </w:r>
    </w:p>
    <w:p>
      <w:pPr>
        <w:ind w:left="1843" w:righ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</w:r>
      <w:r>
        <w:rPr>
          <w:rFonts w:ascii="Tahoma" w:hAnsi="Tahoma" w:cs="Tahoma"/>
        </w:rPr>
      </w:r>
    </w:p>
    <w:p>
      <w:pPr>
        <w:ind w:left="1843" w:righ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</w:r>
      <w:r>
        <w:rPr>
          <w:rFonts w:ascii="Tahoma" w:hAnsi="Tahoma" w:cs="Tahoma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tbl>
      <w:tblPr>
        <w:tblStyle w:val="803"/>
        <w:tblpPr w:horzAnchor="margin" w:tblpXSpec="center" w:vertAnchor="text" w:tblpY="2" w:leftFromText="180" w:topFromText="0" w:rightFromText="180" w:bottomFromText="0"/>
        <w:tblW w:w="5774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87"/>
        <w:gridCol w:w="7770"/>
      </w:tblGrid>
      <w:tr>
        <w:tblPrEx/>
        <w:trPr>
          <w:trHeight w:val="2117"/>
        </w:trPr>
        <w:tc>
          <w:tcPr>
            <w:tcW w:w="1609" w:type="pct"/>
            <w:textDirection w:val="lrTb"/>
            <w:noWrap w:val="false"/>
          </w:tcPr>
          <w:p>
            <w:pPr>
              <w:spacing w:line="360" w:lineRule="auto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1" locked="0" layoutInCell="1" allowOverlap="1">
                      <wp:simplePos x="0" y="0"/>
                      <wp:positionH relativeFrom="column">
                        <wp:posOffset>723513</wp:posOffset>
                      </wp:positionH>
                      <wp:positionV relativeFrom="paragraph">
                        <wp:posOffset>166977</wp:posOffset>
                      </wp:positionV>
                      <wp:extent cx="1127051" cy="1506246"/>
                      <wp:effectExtent l="0" t="0" r="0" b="0"/>
                      <wp:wrapTopAndBottom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27051" cy="15062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58241;o:allowoverlap:true;o:allowincell:true;mso-position-horizontal-relative:text;margin-left:56.97pt;mso-position-horizontal:absolute;mso-position-vertical-relative:text;margin-top:13.15pt;mso-position-vertical:absolute;width:88.74pt;height:118.60pt;mso-wrap-distance-left:9.00pt;mso-wrap-distance-top:0.00pt;mso-wrap-distance-right:9.00pt;mso-wrap-distance-bottom:0.00pt;" stroked="f">
                      <v:path textboxrect="0,0,0,0"/>
                      <w10:wrap type="topAndBottom"/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b/>
                <w:lang w:val="en-US"/>
              </w:rPr>
            </w:r>
          </w:p>
        </w:tc>
        <w:tc>
          <w:tcPr>
            <w:tcW w:w="3391" w:type="pct"/>
            <w:vAlign w:val="center"/>
            <w:textDirection w:val="lrTb"/>
            <w:noWrap w:val="false"/>
          </w:tcPr>
          <w:p>
            <w:pPr>
              <w:ind w:left="35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8"/>
              </w:rPr>
              <w:t xml:space="preserve">МУНИЦИПАЛЬНОЕ ОБРАЗОВАНИЕ </w:t>
            </w:r>
            <w:r>
              <w:rPr>
                <w:rFonts w:ascii="Tahoma" w:hAnsi="Tahoma" w:cs="Tahoma"/>
                <w:sz w:val="28"/>
              </w:rPr>
              <w:br/>
              <w:t xml:space="preserve">«</w:t>
            </w:r>
            <w:r>
              <w:rPr>
                <w:rFonts w:ascii="Tahoma" w:hAnsi="Tahoma" w:cs="Tahoma"/>
                <w:sz w:val="28"/>
              </w:rPr>
              <w:t xml:space="preserve">БОГАШЕВСКОЕ СЕЛЬСКОЕ ПОСЕЛЕНИЕ</w:t>
            </w:r>
            <w:r>
              <w:rPr>
                <w:rFonts w:ascii="Tahoma" w:hAnsi="Tahoma" w:cs="Tahoma"/>
                <w:sz w:val="28"/>
              </w:rPr>
              <w:t xml:space="preserve"> </w:t>
            </w:r>
            <w:r>
              <w:rPr>
                <w:rFonts w:ascii="Tahoma" w:hAnsi="Tahoma" w:cs="Tahoma"/>
                <w:sz w:val="28"/>
              </w:rPr>
              <w:br/>
              <w:t xml:space="preserve">ТОМСКОГО </w:t>
            </w:r>
            <w:r>
              <w:rPr>
                <w:rFonts w:ascii="Tahoma" w:hAnsi="Tahoma" w:cs="Tahoma"/>
                <w:sz w:val="28"/>
              </w:rPr>
              <w:t xml:space="preserve">МУНИЦИПАЛЬНОГО </w:t>
            </w:r>
            <w:r>
              <w:rPr>
                <w:rFonts w:ascii="Tahoma" w:hAnsi="Tahoma" w:cs="Tahoma"/>
                <w:sz w:val="28"/>
              </w:rPr>
              <w:t xml:space="preserve">РАЙОНА </w:t>
            </w:r>
            <w:r>
              <w:rPr>
                <w:rFonts w:ascii="Tahoma" w:hAnsi="Tahoma" w:cs="Tahoma"/>
                <w:sz w:val="28"/>
              </w:rPr>
              <w:br/>
            </w:r>
            <w:r>
              <w:rPr>
                <w:rFonts w:ascii="Tahoma" w:hAnsi="Tahoma" w:cs="Tahoma"/>
                <w:sz w:val="28"/>
              </w:rPr>
              <w:t xml:space="preserve">ТОМСКОЙ ОБЛАСТИ»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2176"/>
        </w:trPr>
        <w:tc>
          <w:tcPr>
            <w:tcW w:w="1609" w:type="pct"/>
            <w:textDirection w:val="lrTb"/>
            <w:noWrap w:val="false"/>
          </w:tcPr>
          <w:p>
            <w:pPr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3391" w:type="pct"/>
            <w:vAlign w:val="center"/>
            <w:vMerge w:val="restart"/>
            <w:textDirection w:val="lrTb"/>
            <w:noWrap w:val="false"/>
          </w:tcPr>
          <w:p>
            <w:pPr>
              <w:ind w:left="87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8"/>
              </w:rPr>
              <w:t xml:space="preserve">ГЕНЕРАЛЬНЫЙ ПЛАН </w:t>
            </w:r>
            <w:r>
              <w:rPr>
                <w:rFonts w:ascii="Tahoma" w:hAnsi="Tahoma" w:cs="Tahoma"/>
                <w:sz w:val="28"/>
              </w:rPr>
              <w:br/>
            </w:r>
            <w:r>
              <w:rPr>
                <w:rFonts w:ascii="Tahoma" w:hAnsi="Tahoma" w:cs="Tahoma"/>
                <w:sz w:val="28"/>
              </w:rPr>
              <w:t xml:space="preserve">МУНИЦИПАЛЬНОГО ОБРАЗОВАНИЯ </w:t>
            </w:r>
            <w:r>
              <w:rPr>
                <w:rFonts w:ascii="Tahoma" w:hAnsi="Tahoma" w:cs="Tahoma"/>
                <w:sz w:val="28"/>
              </w:rPr>
              <w:br/>
            </w:r>
            <w:r>
              <w:rPr>
                <w:rFonts w:ascii="Tahoma" w:hAnsi="Tahoma" w:cs="Tahoma"/>
                <w:sz w:val="28"/>
              </w:rPr>
              <w:t xml:space="preserve">«</w:t>
            </w:r>
            <w:r>
              <w:rPr>
                <w:rFonts w:ascii="Tahoma" w:hAnsi="Tahoma" w:cs="Tahoma"/>
                <w:sz w:val="28"/>
              </w:rPr>
              <w:t xml:space="preserve">БОГАШЕВСКО</w:t>
            </w:r>
            <w:r>
              <w:rPr>
                <w:rFonts w:ascii="Tahoma" w:hAnsi="Tahoma" w:cs="Tahoma"/>
                <w:sz w:val="28"/>
              </w:rPr>
              <w:t xml:space="preserve">Е </w:t>
            </w:r>
            <w:r>
              <w:rPr>
                <w:rFonts w:ascii="Tahoma" w:hAnsi="Tahoma" w:cs="Tahoma"/>
                <w:sz w:val="28"/>
              </w:rPr>
              <w:t xml:space="preserve">СЕЛЬСКО</w:t>
            </w:r>
            <w:r>
              <w:rPr>
                <w:rFonts w:ascii="Tahoma" w:hAnsi="Tahoma" w:cs="Tahoma"/>
                <w:sz w:val="28"/>
              </w:rPr>
              <w:t xml:space="preserve">Е </w:t>
            </w:r>
            <w:r>
              <w:rPr>
                <w:rFonts w:ascii="Tahoma" w:hAnsi="Tahoma" w:cs="Tahoma"/>
                <w:sz w:val="28"/>
              </w:rPr>
              <w:t xml:space="preserve">ПОСЕЛЕНИ</w:t>
            </w:r>
            <w:r>
              <w:rPr>
                <w:rFonts w:ascii="Tahoma" w:hAnsi="Tahoma" w:cs="Tahoma"/>
                <w:sz w:val="28"/>
              </w:rPr>
              <w:t xml:space="preserve">Е</w:t>
            </w:r>
            <w:r>
              <w:rPr>
                <w:rFonts w:ascii="Tahoma" w:hAnsi="Tahoma" w:cs="Tahoma"/>
                <w:sz w:val="28"/>
              </w:rPr>
              <w:t xml:space="preserve"> </w:t>
            </w:r>
            <w:r>
              <w:rPr>
                <w:rFonts w:ascii="Tahoma" w:hAnsi="Tahoma" w:cs="Tahoma"/>
                <w:sz w:val="28"/>
              </w:rPr>
              <w:br/>
              <w:t xml:space="preserve">ТОМСКОГО</w:t>
            </w:r>
            <w:r>
              <w:rPr>
                <w:rFonts w:ascii="Tahoma" w:hAnsi="Tahoma" w:cs="Tahoma"/>
                <w:sz w:val="28"/>
              </w:rPr>
              <w:t xml:space="preserve"> МУНИЦИПАЛЬНОГО </w:t>
            </w:r>
            <w:r>
              <w:rPr>
                <w:rFonts w:ascii="Tahoma" w:hAnsi="Tahoma" w:cs="Tahoma"/>
                <w:sz w:val="28"/>
              </w:rPr>
              <w:t xml:space="preserve">РАЙОНА </w:t>
            </w:r>
            <w:r>
              <w:rPr>
                <w:rFonts w:ascii="Tahoma" w:hAnsi="Tahoma" w:cs="Tahoma"/>
                <w:sz w:val="28"/>
              </w:rPr>
              <w:br/>
            </w:r>
            <w:r>
              <w:rPr>
                <w:rFonts w:ascii="Tahoma" w:hAnsi="Tahoma" w:cs="Tahoma"/>
                <w:sz w:val="28"/>
              </w:rPr>
              <w:t xml:space="preserve">ТОМСКОЙ ОБЛАСТИ</w:t>
            </w:r>
            <w:r>
              <w:rPr>
                <w:rFonts w:ascii="Tahoma" w:hAnsi="Tahoma" w:cs="Tahoma"/>
                <w:sz w:val="28"/>
              </w:rPr>
              <w:t xml:space="preserve">»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2743"/>
        </w:trPr>
        <w:tc>
          <w:tcPr>
            <w:tcW w:w="1609" w:type="pct"/>
            <w:textDirection w:val="lrTb"/>
            <w:noWrap w:val="false"/>
          </w:tcPr>
          <w:p>
            <w:pPr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3391" w:type="pct"/>
            <w:vMerge w:val="continue"/>
            <w:textDirection w:val="lrTb"/>
            <w:noWrap w:val="false"/>
          </w:tcPr>
          <w:p>
            <w:pPr>
              <w:ind w:left="87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</w:r>
            <w:r>
              <w:rPr>
                <w:rFonts w:ascii="Tahoma" w:hAnsi="Tahoma" w:cs="Tahoma"/>
                <w:sz w:val="24"/>
                <w:szCs w:val="24"/>
              </w:rPr>
            </w:r>
          </w:p>
        </w:tc>
      </w:tr>
      <w:tr>
        <w:tblPrEx/>
        <w:trPr>
          <w:trHeight w:val="3686"/>
        </w:trPr>
        <w:tc>
          <w:tcPr>
            <w:tcW w:w="1609" w:type="pct"/>
            <w:textDirection w:val="lrTb"/>
            <w:noWrap w:val="false"/>
          </w:tcPr>
          <w:p>
            <w:pPr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3391" w:type="pct"/>
            <w:vAlign w:val="center"/>
            <w:textDirection w:val="lrTb"/>
            <w:noWrap w:val="false"/>
          </w:tcPr>
          <w:p>
            <w:pPr>
              <w:ind w:left="87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8"/>
                <w:szCs w:val="24"/>
              </w:rPr>
              <w:t xml:space="preserve">Положение о территориальном планировании</w:t>
            </w:r>
            <w:r>
              <w:rPr>
                <w:rFonts w:ascii="Tahoma" w:hAnsi="Tahoma" w:cs="Tahoma"/>
                <w:sz w:val="24"/>
              </w:rPr>
            </w:r>
          </w:p>
        </w:tc>
      </w:tr>
    </w:tbl>
    <w:p>
      <w:pPr>
        <w:ind w:left="1843" w:righ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</w:r>
      <w:r>
        <w:rPr>
          <w:rFonts w:ascii="Tahoma" w:hAnsi="Tahoma" w:cs="Tahoma"/>
        </w:rPr>
      </w:r>
    </w:p>
    <w:p>
      <w:pPr>
        <w:ind w:left="1843" w:right="1985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202</w:t>
      </w:r>
      <w:r>
        <w:rPr>
          <w:rFonts w:ascii="Tahoma" w:hAnsi="Tahoma" w:cs="Tahoma"/>
        </w:rPr>
        <w:t xml:space="preserve">6</w:t>
      </w:r>
      <w:r>
        <w:rPr>
          <w:rFonts w:ascii="Tahoma" w:hAnsi="Tahoma" w:cs="Tahoma"/>
        </w:rPr>
      </w:r>
    </w:p>
    <w:p>
      <w:pPr>
        <w:ind w:left="1843" w:right="1985"/>
        <w:jc w:val="center"/>
        <w:rPr>
          <w:rFonts w:ascii="Tahoma" w:hAnsi="Tahoma" w:cs="Tahoma"/>
          <w:caps/>
          <w:sz w:val="24"/>
          <w:szCs w:val="24"/>
        </w:rPr>
        <w:sectPr>
          <w:headerReference w:type="default" r:id="rId9"/>
          <w:headerReference w:type="first" r:id="rId10"/>
          <w:footerReference w:type="default" r:id="rId11"/>
          <w:footnotePr>
            <w:numRestart w:val="eachPage"/>
          </w:footnotePr>
          <w:endnotePr/>
          <w:type w:val="nextPage"/>
          <w:pgSz w:w="11906" w:h="16838" w:orient="portrait"/>
          <w:pgMar w:top="1134" w:right="851" w:bottom="1134" w:left="1134" w:header="709" w:footer="709" w:gutter="0"/>
          <w:pgNumType w:start="4"/>
          <w:cols w:num="1" w:sep="0" w:space="708" w:equalWidth="1"/>
          <w:docGrid w:linePitch="360"/>
          <w:titlePg/>
        </w:sectPr>
      </w:pPr>
      <w:r>
        <w:rPr>
          <w:rFonts w:ascii="Tahoma" w:hAnsi="Tahoma" w:cs="Tahoma"/>
          <w:caps/>
          <w:sz w:val="24"/>
          <w:szCs w:val="24"/>
        </w:rPr>
      </w:r>
      <w:r>
        <w:rPr>
          <w:rFonts w:ascii="Tahoma" w:hAnsi="Tahoma" w:cs="Tahoma"/>
          <w:caps/>
          <w:sz w:val="24"/>
          <w:szCs w:val="24"/>
        </w:rPr>
      </w:r>
    </w:p>
    <w:p>
      <w:pPr>
        <w:ind w:left="-1701" w:firstLine="1417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Содержание</w:t>
      </w:r>
      <w:r>
        <w:rPr>
          <w:rFonts w:ascii="Tahoma" w:hAnsi="Tahoma" w:cs="Tahoma"/>
          <w:sz w:val="28"/>
          <w:szCs w:val="28"/>
        </w:rPr>
      </w:r>
    </w:p>
    <w:sdt>
      <w:sdtPr>
        <w15:appearance w15:val="boundingBox"/>
        <w:id w:val="1605226203"/>
        <w:docPartObj>
          <w:docPartGallery w:val="Table of Contents"/>
          <w:docPartUnique w:val="true"/>
        </w:docPartObj>
        <w:rPr/>
      </w:sdtPr>
      <w:sdtContent>
        <w:p>
          <w:r/>
          <w:r/>
        </w:p>
        <w:p>
          <w:pPr>
            <w:pStyle w:val="805"/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\h \o '1-3' \u \z </w:instrText>
          </w:r>
          <w:r>
            <w:fldChar w:fldCharType="separate"/>
          </w:r>
          <w:hyperlink w:tooltip="#_Toc231914312" w:anchor="_Toc231914312" w:history="1">
            <w:r>
              <w:rPr>
                <w:rStyle w:val="804"/>
              </w:rPr>
              <w:t xml:space="preserve">1</w:t>
            </w:r>
            <w:r>
              <w:rPr>
                <w:rFonts w:asciiTheme="minorHAnsi" w:hAnsiTheme="minorHAnsi" w:eastAsiaTheme="minorEastAsia" w:cstheme="minorBidi"/>
                <w:bCs w:val="0"/>
                <w:sz w:val="22"/>
                <w:szCs w:val="22"/>
                <w:lang w:eastAsia="ru-RU"/>
              </w:rPr>
              <w:tab/>
            </w:r>
            <w:r>
              <w:rPr>
                <w:rStyle w:val="804"/>
              </w:rPr>
              <w:t xml:space="preserve">Общие положения</w:t>
            </w:r>
            <w:r>
              <w:tab/>
            </w:r>
            <w:r>
              <w:fldChar w:fldCharType="begin"/>
            </w:r>
            <w:r>
              <w:instrText xml:space="preserve"> PAGEREF _Toc231914312 \h </w:instrText>
            </w:r>
            <w:r/>
            <w:r>
              <w:fldChar w:fldCharType="separate"/>
            </w:r>
            <w:r>
              <w:t xml:space="preserve">6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r>
        </w:p>
        <w:p>
          <w:pPr>
            <w:pStyle w:val="805"/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pPr>
          <w:r/>
          <w:hyperlink w:tooltip="#_Toc231914313" w:anchor="_Toc231914313" w:history="1">
            <w:r>
              <w:rPr>
                <w:rStyle w:val="804"/>
              </w:rPr>
              <w:t xml:space="preserve">2</w:t>
            </w:r>
            <w:r>
              <w:rPr>
                <w:rFonts w:asciiTheme="minorHAnsi" w:hAnsiTheme="minorHAnsi" w:eastAsiaTheme="minorEastAsia" w:cstheme="minorBidi"/>
                <w:bCs w:val="0"/>
                <w:sz w:val="22"/>
                <w:szCs w:val="22"/>
                <w:lang w:eastAsia="ru-RU"/>
              </w:rPr>
              <w:tab/>
            </w:r>
            <w:r>
              <w:rPr>
                <w:rStyle w:val="804"/>
              </w:rPr>
              <w:t xml:space="preserve">Сведения о потребности в планируемых для размещения объектах местного значения сельского поселения</w:t>
            </w:r>
            <w:r>
              <w:tab/>
            </w:r>
            <w:r>
              <w:fldChar w:fldCharType="begin"/>
            </w:r>
            <w:r>
              <w:instrText xml:space="preserve"> PAGEREF _Toc231914313 \h </w:instrText>
            </w:r>
            <w:r/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r>
        </w:p>
        <w:p>
          <w:pPr>
            <w:pStyle w:val="805"/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pPr>
          <w:r/>
          <w:hyperlink w:tooltip="#_Toc231914314" w:anchor="_Toc231914314" w:history="1">
            <w:r>
              <w:rPr>
                <w:rStyle w:val="804"/>
              </w:rPr>
              <w:t xml:space="preserve">3</w:t>
            </w:r>
            <w:r>
              <w:rPr>
                <w:rFonts w:asciiTheme="minorHAnsi" w:hAnsiTheme="minorHAnsi" w:eastAsiaTheme="minorEastAsia" w:cstheme="minorBidi"/>
                <w:bCs w:val="0"/>
                <w:sz w:val="22"/>
                <w:szCs w:val="22"/>
                <w:lang w:eastAsia="ru-RU"/>
              </w:rPr>
              <w:tab/>
            </w:r>
            <w:r>
              <w:rPr>
                <w:rStyle w:val="804"/>
              </w:rPr>
              <w:t xml:space="preserve">Характеристики зон с особыми условиями использования территорий</w:t>
            </w:r>
            <w:r>
              <w:tab/>
            </w:r>
            <w:r>
              <w:fldChar w:fldCharType="begin"/>
            </w:r>
            <w:r>
              <w:instrText xml:space="preserve"> PAGEREF _Toc231914314 \h </w:instrText>
            </w:r>
            <w:r/>
            <w:r>
              <w:fldChar w:fldCharType="separate"/>
            </w:r>
            <w:r>
              <w:t xml:space="preserve">9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r>
        </w:p>
        <w:p>
          <w:pPr>
            <w:pStyle w:val="805"/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pPr>
          <w:r/>
          <w:hyperlink w:tooltip="#_Toc231914315" w:anchor="_Toc231914315" w:history="1">
            <w:r>
              <w:rPr>
                <w:rStyle w:val="804"/>
              </w:rPr>
              <w:t xml:space="preserve">4</w:t>
            </w:r>
            <w:r>
              <w:rPr>
                <w:rFonts w:asciiTheme="minorHAnsi" w:hAnsiTheme="minorHAnsi" w:eastAsiaTheme="minorEastAsia" w:cstheme="minorBidi"/>
                <w:bCs w:val="0"/>
                <w:sz w:val="22"/>
                <w:szCs w:val="22"/>
                <w:lang w:eastAsia="ru-RU"/>
              </w:rPr>
              <w:tab/>
            </w:r>
            <w:r>
              <w:rPr>
                <w:rStyle w:val="804"/>
              </w:rPr>
      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объектов местного значения муниципального района, за исключением линейных объектов</w:t>
            </w:r>
            <w:r>
              <w:tab/>
            </w:r>
            <w:r>
              <w:fldChar w:fldCharType="begin"/>
            </w:r>
            <w:r>
              <w:instrText xml:space="preserve"> PAGEREF _Toc231914315 \h </w:instrText>
            </w:r>
            <w:r/>
            <w:r>
              <w:fldChar w:fldCharType="separate"/>
            </w:r>
            <w:r>
              <w:t xml:space="preserve">14</w:t>
            </w:r>
            <w:r>
              <w:fldChar w:fldCharType="end"/>
            </w:r>
          </w:hyperlink>
          <w:r/>
          <w:r>
            <w:rPr>
              <w:rFonts w:asciiTheme="minorHAnsi" w:hAnsiTheme="minorHAnsi" w:eastAsiaTheme="minorEastAsia" w:cstheme="minorBidi"/>
              <w:bCs w:val="0"/>
              <w:sz w:val="22"/>
              <w:szCs w:val="22"/>
              <w:lang w:eastAsia="ru-RU"/>
            </w:rPr>
          </w:r>
        </w:p>
        <w:p>
          <w:pPr>
            <w:jc w:val="both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b/>
              <w:bCs/>
              <w:sz w:val="24"/>
              <w:szCs w:val="24"/>
            </w:rPr>
            <w:fldChar w:fldCharType="end"/>
          </w:r>
          <w:r>
            <w:rPr>
              <w:rFonts w:ascii="Tahoma" w:hAnsi="Tahoma" w:cs="Tahoma"/>
              <w:sz w:val="24"/>
              <w:szCs w:val="24"/>
            </w:rPr>
          </w:r>
        </w:p>
      </w:sdtContent>
    </w:sdt>
    <w:p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</w:r>
    </w:p>
    <w:p>
      <w:r/>
      <w:r/>
    </w:p>
    <w:p>
      <w:pPr>
        <w:pStyle w:val="776"/>
        <w:numPr>
          <w:ilvl w:val="0"/>
          <w:numId w:val="1"/>
        </w:numPr>
        <w:ind w:left="0" w:firstLine="0"/>
        <w:jc w:val="both"/>
        <w:spacing w:before="0"/>
        <w:tabs>
          <w:tab w:val="left" w:pos="426" w:leader="none"/>
        </w:tabs>
        <w:rPr>
          <w:rFonts w:ascii="Tahoma" w:hAnsi="Tahoma" w:cs="Tahoma"/>
          <w:b w:val="0"/>
          <w:sz w:val="28"/>
          <w:szCs w:val="28"/>
        </w:rPr>
      </w:pPr>
      <w:r/>
      <w:bookmarkStart w:id="1" w:name="_Toc231914312"/>
      <w:r>
        <w:rPr>
          <w:rFonts w:ascii="Tahoma" w:hAnsi="Tahoma" w:cs="Tahoma"/>
          <w:b w:val="0"/>
          <w:sz w:val="28"/>
          <w:szCs w:val="28"/>
        </w:rPr>
        <w:t xml:space="preserve">Общие положения</w:t>
      </w:r>
      <w:bookmarkEnd w:id="1"/>
      <w:r/>
      <w:r>
        <w:rPr>
          <w:rFonts w:ascii="Tahoma" w:hAnsi="Tahoma" w:cs="Tahoma"/>
          <w:b w:val="0"/>
          <w:sz w:val="28"/>
          <w:szCs w:val="28"/>
        </w:rPr>
      </w:r>
    </w:p>
    <w:p>
      <w:pPr>
        <w:pStyle w:val="799"/>
        <w:spacing w:before="144" w:after="120" w:line="240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Генеральный план </w:t>
      </w:r>
      <w:r>
        <w:rPr>
          <w:rFonts w:ascii="Tahoma" w:hAnsi="Tahoma" w:cs="Tahoma"/>
          <w:color w:val="auto"/>
        </w:rPr>
        <w:t xml:space="preserve">муниципального образования </w:t>
      </w:r>
      <w:r>
        <w:rPr>
          <w:rFonts w:ascii="Tahoma" w:hAnsi="Tahoma" w:cs="Tahoma"/>
          <w:color w:val="auto"/>
        </w:rPr>
        <w:t xml:space="preserve">«</w:t>
      </w:r>
      <w:r>
        <w:rPr>
          <w:rFonts w:ascii="Tahoma" w:hAnsi="Tahoma" w:cs="Tahoma"/>
          <w:color w:val="auto"/>
        </w:rPr>
        <w:t xml:space="preserve">Богашевское</w:t>
      </w:r>
      <w:r>
        <w:rPr>
          <w:rFonts w:ascii="Tahoma" w:hAnsi="Tahoma" w:cs="Tahoma"/>
          <w:color w:val="auto"/>
        </w:rPr>
        <w:t xml:space="preserve"> сельское поселение Томского муниципального района Томской области»</w:t>
      </w:r>
      <w:r>
        <w:rPr>
          <w:rFonts w:ascii="Tahoma" w:hAnsi="Tahoma" w:cs="Tahoma"/>
          <w:color w:val="auto"/>
        </w:rPr>
        <w:t xml:space="preserve"> (далее – </w:t>
      </w:r>
      <w:r>
        <w:rPr>
          <w:rFonts w:ascii="Tahoma" w:hAnsi="Tahoma" w:cs="Tahoma"/>
          <w:color w:val="auto"/>
        </w:rPr>
        <w:t xml:space="preserve">Богашевское</w:t>
      </w:r>
      <w:r>
        <w:rPr>
          <w:rFonts w:ascii="Tahoma" w:hAnsi="Tahoma" w:cs="Tahoma"/>
          <w:color w:val="auto"/>
        </w:rPr>
        <w:t xml:space="preserve"> </w:t>
      </w:r>
      <w:r>
        <w:rPr>
          <w:rFonts w:ascii="Tahoma" w:hAnsi="Tahoma" w:cs="Tahoma"/>
          <w:color w:val="auto"/>
        </w:rPr>
        <w:t xml:space="preserve">сельское поселени</w:t>
      </w:r>
      <w:r>
        <w:rPr>
          <w:rFonts w:ascii="Tahoma" w:hAnsi="Tahoma" w:cs="Tahoma"/>
          <w:color w:val="auto"/>
        </w:rPr>
        <w:t xml:space="preserve">е) разработан в соответствии с Градостроительным кодексом Российской Федерации, Земельным кодексом Российской Федерации. В основу разработки положены документы стратегического и территориального планирования федерального, регионального и местного уровней. </w:t>
      </w:r>
      <w:r>
        <w:rPr>
          <w:rFonts w:ascii="Tahoma" w:hAnsi="Tahoma" w:cs="Tahoma"/>
          <w:color w:val="auto"/>
        </w:rPr>
      </w:r>
    </w:p>
    <w:p>
      <w:pPr>
        <w:pStyle w:val="799"/>
        <w:spacing w:before="144" w:after="120" w:line="240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В соответствии со статьей 23 Градостроительного кодекса Российской Федерации, статьей 2 Закона</w:t>
      </w:r>
      <w:r>
        <w:rPr>
          <w:rFonts w:ascii="Tahoma" w:hAnsi="Tahoma" w:cs="Tahoma"/>
          <w:color w:val="auto"/>
        </w:rPr>
        <w:t xml:space="preserve"> Томской области от 11.01.2007 №</w:t>
      </w:r>
      <w:r>
        <w:rPr>
          <w:rFonts w:ascii="Tahoma" w:hAnsi="Tahoma" w:cs="Tahoma"/>
          <w:color w:val="auto"/>
        </w:rPr>
        <w:t xml:space="preserve"> 9-ОЗ «О составе и порядке подготовки документов территориального планирования муниципальных образований Томской области, о согласовании проекта схемы территориального планирования Российской Федерации» </w:t>
      </w:r>
      <w:r>
        <w:rPr>
          <w:rFonts w:ascii="Tahoma" w:hAnsi="Tahoma" w:cs="Tahoma"/>
          <w:color w:val="auto"/>
        </w:rPr>
        <w:t xml:space="preserve">(</w:t>
      </w:r>
      <w:r>
        <w:rPr>
          <w:rFonts w:ascii="Tahoma" w:hAnsi="Tahoma" w:cs="Tahoma"/>
          <w:color w:val="auto"/>
        </w:rPr>
        <w:t xml:space="preserve">далее – Закон Томской области от 11.01.2007 № 9-ОЗ) </w:t>
      </w:r>
      <w:r>
        <w:rPr>
          <w:rFonts w:ascii="Tahoma" w:hAnsi="Tahoma" w:cs="Tahoma"/>
          <w:color w:val="auto"/>
        </w:rPr>
        <w:t xml:space="preserve">положение о территориальном планировании, </w:t>
      </w:r>
      <w:r>
        <w:rPr>
          <w:rFonts w:ascii="Tahoma" w:hAnsi="Tahoma" w:cs="Tahoma"/>
          <w:color w:val="auto"/>
        </w:rPr>
        <w:t xml:space="preserve">содержащееся в генеральном плане </w:t>
      </w:r>
      <w:r>
        <w:rPr>
          <w:rFonts w:ascii="Tahoma" w:hAnsi="Tahoma" w:cs="Tahoma"/>
          <w:color w:val="auto"/>
        </w:rPr>
        <w:t xml:space="preserve">Богашевского</w:t>
      </w:r>
      <w:r>
        <w:rPr>
          <w:rFonts w:ascii="Tahoma" w:hAnsi="Tahoma" w:cs="Tahoma"/>
          <w:color w:val="auto"/>
        </w:rPr>
        <w:t xml:space="preserve"> сельского поселения, включает в себя:</w:t>
      </w:r>
      <w:r>
        <w:rPr>
          <w:rFonts w:ascii="Tahoma" w:hAnsi="Tahoma" w:cs="Tahoma"/>
          <w:color w:val="auto"/>
        </w:rPr>
        <w:t xml:space="preserve"> </w:t>
      </w:r>
      <w:r>
        <w:rPr>
          <w:rFonts w:ascii="Tahoma" w:hAnsi="Tahoma" w:cs="Tahoma"/>
          <w:color w:val="auto"/>
        </w:rPr>
      </w:r>
    </w:p>
    <w:p>
      <w:pPr>
        <w:pStyle w:val="806"/>
      </w:pPr>
      <w:r>
        <w:t xml:space="preserve">сведения о потребности в объектах местного значения сельского поселения;</w:t>
      </w:r>
      <w:r/>
    </w:p>
    <w:p>
      <w:pPr>
        <w:pStyle w:val="806"/>
      </w:pPr>
      <w:r>
        <w:t xml:space="preserve">характеристики зон с особыми условиями использования территорий, если необходимо их установление в связи с выявленной потребностью в размещении объектов местного значения поселения различного функционального назначения;</w:t>
      </w:r>
      <w:r/>
    </w:p>
    <w:p>
      <w:pPr>
        <w:pStyle w:val="806"/>
      </w:pPr>
      <w: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за исключением линейных объектов.</w:t>
      </w:r>
      <w:r/>
    </w:p>
    <w:p>
      <w:pPr>
        <w:pStyle w:val="799"/>
        <w:spacing w:before="144" w:after="120" w:line="240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Расчет потребности в объектах местного значения сельского поселения выполнен с учетом расчетных показателей,</w:t>
      </w:r>
      <w:r>
        <w:rPr>
          <w:rFonts w:ascii="Tahoma" w:hAnsi="Tahoma" w:cs="Tahoma"/>
          <w:color w:val="auto"/>
        </w:rPr>
        <w:t xml:space="preserve"> установленных в нормативах градостроительного проектирования муниципального образования «Томский район» (утв. решением Думы Томского района от 25.01.2018 № 194), а также с учетом положений документов технического регулирования.</w:t>
      </w:r>
      <w:r>
        <w:rPr>
          <w:rFonts w:ascii="Tahoma" w:hAnsi="Tahoma" w:cs="Tahoma"/>
          <w:color w:val="auto"/>
        </w:rPr>
      </w:r>
    </w:p>
    <w:p>
      <w:pPr>
        <w:pStyle w:val="799"/>
        <w:spacing w:before="144" w:after="120" w:line="240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В соответствии с пунктом 2 части 2 статьи 2 Закона Томской области от 11.01.2007 № 9-ОЗ генеральным планом </w:t>
      </w:r>
      <w:r>
        <w:rPr>
          <w:rFonts w:ascii="Tahoma" w:hAnsi="Tahoma" w:cs="Tahoma"/>
          <w:color w:val="auto"/>
        </w:rPr>
        <w:t xml:space="preserve">Богашевского</w:t>
      </w:r>
      <w:r>
        <w:rPr>
          <w:rFonts w:ascii="Tahoma" w:hAnsi="Tahoma" w:cs="Tahoma"/>
          <w:color w:val="auto"/>
        </w:rPr>
        <w:t xml:space="preserve"> сельского поселения предусмотрены территории, в отношении которых функциональные зоны не устанавливаются. </w:t>
      </w:r>
      <w:r>
        <w:rPr>
          <w:rFonts w:ascii="Tahoma" w:hAnsi="Tahoma" w:cs="Tahoma"/>
          <w:color w:val="auto"/>
        </w:rPr>
        <w:t xml:space="preserve">Согласно</w:t>
      </w:r>
      <w:r>
        <w:rPr>
          <w:rFonts w:ascii="Tahoma" w:hAnsi="Tahoma" w:cs="Tahoma"/>
          <w:color w:val="auto"/>
        </w:rPr>
        <w:t xml:space="preserve"> </w:t>
      </w:r>
      <w:r>
        <w:rPr>
          <w:rFonts w:ascii="Tahoma" w:hAnsi="Tahoma" w:cs="Tahoma"/>
          <w:color w:val="auto"/>
        </w:rPr>
        <w:t xml:space="preserve">пункту 2 статьи 14.2 Земельного кодекса Российской Федерации</w:t>
      </w:r>
      <w:r>
        <w:rPr>
          <w:rFonts w:ascii="Tahoma" w:hAnsi="Tahoma" w:cs="Tahoma"/>
          <w:color w:val="auto"/>
        </w:rPr>
        <w:t xml:space="preserve">, </w:t>
      </w:r>
      <w:r>
        <w:rPr>
          <w:rFonts w:ascii="Tahoma" w:hAnsi="Tahoma" w:cs="Tahoma"/>
          <w:color w:val="auto"/>
        </w:rPr>
        <w:t xml:space="preserve">виды разрешенного использования земельных участков устанавливаются градостроительным регламентом</w:t>
      </w:r>
      <w:r>
        <w:rPr>
          <w:rFonts w:ascii="Tahoma" w:hAnsi="Tahoma" w:cs="Tahoma"/>
        </w:rPr>
        <w:t xml:space="preserve">, за исключением следующих случаев:</w:t>
      </w:r>
      <w:r>
        <w:rPr>
          <w:rFonts w:ascii="Tahoma" w:hAnsi="Tahoma" w:cs="Tahoma"/>
          <w:color w:val="auto"/>
        </w:rPr>
      </w:r>
    </w:p>
    <w:p>
      <w:pPr>
        <w:pStyle w:val="814"/>
        <w:ind w:firstLine="540"/>
        <w:jc w:val="both"/>
        <w:spacing w:before="0" w:beforeAutospacing="0" w:after="0" w:afterAutospacing="0" w:line="288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>
        <w:rPr>
          <w:rFonts w:ascii="Tahoma" w:hAnsi="Tahoma" w:cs="Tahoma"/>
        </w:rPr>
        <w:t xml:space="preserve">в соответствии с видами разрешенного использования лесов, предусмотренных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лесохозяйственным регламентом в отношении лесных участков из состава земель лесного фонда, за исключением лесных участков, расположенных в границах особо охраняемых природных территорий федерального значения</w:t>
      </w:r>
      <w:r>
        <w:rPr>
          <w:rFonts w:ascii="Tahoma" w:hAnsi="Tahoma" w:cs="Tahoma"/>
        </w:rPr>
        <w:t xml:space="preserve">;</w:t>
      </w:r>
      <w:r>
        <w:rPr>
          <w:rFonts w:ascii="Tahoma" w:hAnsi="Tahoma" w:cs="Tahoma"/>
        </w:rPr>
      </w:r>
    </w:p>
    <w:p>
      <w:pPr>
        <w:pStyle w:val="814"/>
        <w:ind w:firstLine="540"/>
        <w:jc w:val="both"/>
        <w:spacing w:before="0" w:beforeAutospacing="0" w:after="0" w:afterAutospacing="0" w:line="288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>
        <w:rPr>
          <w:rFonts w:ascii="Tahoma" w:hAnsi="Tahoma" w:cs="Tahoma"/>
        </w:rPr>
        <w:t xml:space="preserve">положением об особо охраняемой п</w:t>
      </w:r>
      <w:r>
        <w:rPr>
          <w:rFonts w:ascii="Tahoma" w:hAnsi="Tahoma" w:cs="Tahoma"/>
        </w:rPr>
        <w:t xml:space="preserve">риродной территории в отношении земельных участков, расположенных в границах особо охраняемой природной территории, за исключением земельных участков, находящихся в границах населенных пунктов, расположенных в границах особо охраняемых природных территорий</w:t>
      </w:r>
      <w:r>
        <w:rPr>
          <w:rFonts w:ascii="Tahoma" w:hAnsi="Tahoma" w:cs="Tahoma"/>
        </w:rPr>
        <w:t xml:space="preserve">; </w:t>
      </w:r>
      <w:r>
        <w:rPr>
          <w:rFonts w:ascii="Tahoma" w:hAnsi="Tahoma" w:cs="Tahoma"/>
        </w:rPr>
      </w:r>
    </w:p>
    <w:p>
      <w:pPr>
        <w:pStyle w:val="814"/>
        <w:ind w:firstLine="540"/>
        <w:jc w:val="both"/>
        <w:spacing w:before="0" w:beforeAutospacing="0" w:after="0" w:afterAutospacing="0" w:line="288" w:lineRule="atLeast"/>
        <w:rPr>
          <w:rFonts w:ascii="Tahoma" w:hAnsi="Tahoma" w:cs="Tahoma"/>
        </w:rPr>
      </w:pPr>
      <w:r>
        <w:rPr>
          <w:rFonts w:ascii="Tahoma" w:hAnsi="Tahoma" w:cs="Tahoma"/>
        </w:rPr>
        <w:t xml:space="preserve">- </w:t>
      </w:r>
      <w:r>
        <w:rPr>
          <w:rFonts w:ascii="Tahoma" w:hAnsi="Tahoma" w:cs="Tahoma"/>
        </w:rPr>
        <w:t xml:space="preserve">вид или виды разрешенного использования земельных участков сельскохозяйственного назначения, за исключением са</w:t>
      </w:r>
      <w:r>
        <w:rPr>
          <w:rFonts w:ascii="Tahoma" w:hAnsi="Tahoma" w:cs="Tahoma"/>
        </w:rPr>
        <w:t xml:space="preserve">довых и огородных земельных участков, а также земельных участков общего назначения, расположенных в границах территорий ведения гражданами садоводства и огородничества для собственных нужд, устанавливаются и изменяются в соответствии с федеральным законом.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</w:r>
    </w:p>
    <w:p>
      <w:pPr>
        <w:spacing w:after="160" w:line="259" w:lineRule="auto"/>
        <w:widowControl/>
        <w:rPr>
          <w:rFonts w:ascii="Tahoma" w:hAnsi="Tahoma" w:eastAsia="Calibri" w:cs="Tahoma"/>
          <w:sz w:val="24"/>
          <w:szCs w:val="24"/>
          <w:lang w:eastAsia="ru-RU"/>
        </w:rPr>
      </w:pPr>
      <w:r>
        <w:rPr>
          <w:rFonts w:ascii="Tahoma" w:hAnsi="Tahoma" w:cs="Tahoma"/>
        </w:rPr>
        <w:br w:type="page" w:clear="all"/>
      </w:r>
      <w:r>
        <w:rPr>
          <w:rFonts w:ascii="Tahoma" w:hAnsi="Tahoma" w:eastAsia="Calibri" w:cs="Tahoma"/>
          <w:sz w:val="24"/>
          <w:szCs w:val="24"/>
          <w:lang w:eastAsia="ru-RU"/>
        </w:rPr>
      </w:r>
    </w:p>
    <w:p>
      <w:pPr>
        <w:pStyle w:val="799"/>
        <w:spacing w:before="144" w:after="120" w:line="240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Цели разработки генерального плана </w:t>
      </w:r>
      <w:r>
        <w:rPr>
          <w:rFonts w:ascii="Tahoma" w:hAnsi="Tahoma" w:cs="Tahoma"/>
          <w:color w:val="auto"/>
        </w:rPr>
        <w:t xml:space="preserve">Богашевского</w:t>
      </w:r>
      <w:r>
        <w:rPr>
          <w:rFonts w:ascii="Tahoma" w:hAnsi="Tahoma" w:cs="Tahoma"/>
          <w:color w:val="auto"/>
        </w:rPr>
        <w:t xml:space="preserve"> сельского поселения:</w:t>
      </w:r>
      <w:r>
        <w:rPr>
          <w:rFonts w:ascii="Tahoma" w:hAnsi="Tahoma" w:cs="Tahoma"/>
          <w:color w:val="auto"/>
        </w:rPr>
      </w:r>
    </w:p>
    <w:p>
      <w:pPr>
        <w:pStyle w:val="806"/>
      </w:pPr>
      <w:r>
        <w:t xml:space="preserve">создание условий для устойчивого развития территории муниципального образования, сохранения окружающей среды и объектов культурного наследия;</w:t>
      </w:r>
      <w:r/>
    </w:p>
    <w:p>
      <w:pPr>
        <w:pStyle w:val="806"/>
      </w:pPr>
      <w:r>
        <w:t xml:space="preserve">создание условий для планировки территории муниципального образования;</w:t>
      </w:r>
      <w:r/>
    </w:p>
    <w:p>
      <w:pPr>
        <w:pStyle w:val="806"/>
      </w:pPr>
      <w:r>
        <w:t xml:space="preserve">реализаци</w:t>
      </w:r>
      <w:r>
        <w:t xml:space="preserve">я Национальных целей развития Российской Федерации, утвержденных указом Президента Российской Федерации от 07.05.2024 № 309, в части создания условий для сохранения населения и повышения благополучия людей, создания комфортной и безопасной среды для жизни;</w:t>
      </w:r>
      <w:r/>
    </w:p>
    <w:p>
      <w:pPr>
        <w:pStyle w:val="806"/>
      </w:pPr>
      <w:r>
        <w:t xml:space="preserve">реализация Стратегии пространственного разви</w:t>
      </w:r>
      <w:r>
        <w:t xml:space="preserve">тия Российской Федерации на </w:t>
      </w:r>
      <w:r>
        <w:t xml:space="preserve">период до 2030 года с прогнозом до 2036 года, утвержденной распоряжением Правительства Российской Федерации от 28.</w:t>
      </w:r>
      <w:r>
        <w:t xml:space="preserve">12.2024 № 4146-р, в части реализации комплексного подхода к социально-экономическому развитию территорий, учета интересов и мнения населения и бизнеса при планировании социально-экономического развития территорий, повышения устойчивости системы расселения;</w:t>
      </w:r>
      <w:r/>
    </w:p>
    <w:p>
      <w:pPr>
        <w:pStyle w:val="806"/>
      </w:pPr>
      <w:r>
        <w:t xml:space="preserve">реализация Целевой модели 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</w:t>
      </w:r>
      <w:r>
        <w:t xml:space="preserve">а», утвержденной распоряжением Правительства Российской Федерации от 31.01.2017 № 147-р, в части создания условий для внесения в Единый государственный реестр недвижимости сведений об установлении (изменении) границ населенных пунктов, территориальных зон.</w:t>
      </w:r>
      <w:r/>
    </w:p>
    <w:p>
      <w:pPr>
        <w:pStyle w:val="799"/>
        <w:spacing w:before="144" w:after="120" w:line="240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Задачи генерального плана </w:t>
      </w:r>
      <w:r>
        <w:rPr>
          <w:rFonts w:ascii="Tahoma" w:hAnsi="Tahoma" w:cs="Tahoma"/>
          <w:color w:val="auto"/>
        </w:rPr>
        <w:t xml:space="preserve">Богашевского</w:t>
      </w:r>
      <w:r>
        <w:rPr>
          <w:rFonts w:ascii="Tahoma" w:hAnsi="Tahoma" w:cs="Tahoma"/>
          <w:color w:val="auto"/>
        </w:rPr>
        <w:t xml:space="preserve"> сельского поселения:</w:t>
      </w:r>
      <w:r>
        <w:rPr>
          <w:rFonts w:ascii="Tahoma" w:hAnsi="Tahoma" w:cs="Tahoma"/>
          <w:color w:val="auto"/>
        </w:rPr>
      </w:r>
    </w:p>
    <w:p>
      <w:pPr>
        <w:pStyle w:val="806"/>
      </w:pPr>
      <w:r>
        <w:t xml:space="preserve">подготовка г</w:t>
      </w:r>
      <w:r>
        <w:t xml:space="preserve">енерального плана в соответствии</w:t>
      </w:r>
      <w:r>
        <w:t xml:space="preserve"> с требованиями Градостроительного кодекса Российской Федерации, Земельно</w:t>
      </w:r>
      <w:r>
        <w:t xml:space="preserve">го кодекса Российской Федерации, а также</w:t>
      </w:r>
      <w:r>
        <w:t xml:space="preserve"> с документами стратегического планирования Российской Федерации, Томской области, Томского района, </w:t>
      </w:r>
      <w:r>
        <w:t xml:space="preserve">Богашевского</w:t>
      </w:r>
      <w:r>
        <w:t xml:space="preserve"> </w:t>
      </w:r>
      <w:r>
        <w:t xml:space="preserve">сельского поселения, принятых в соответствии с Федеральным законом от 28.06.2014 № 172-ФЗ «О стратегическом планировании в Российской Федерации»;</w:t>
      </w:r>
      <w:r/>
    </w:p>
    <w:p>
      <w:pPr>
        <w:pStyle w:val="806"/>
      </w:pPr>
      <w:r>
        <w:t xml:space="preserve">выявление проблем градостроительного развития территории сельского поселения, обеспечение их решения;</w:t>
      </w:r>
      <w:r/>
    </w:p>
    <w:p>
      <w:pPr>
        <w:pStyle w:val="806"/>
      </w:pPr>
      <w:r>
        <w:t xml:space="preserve">определение основных н</w:t>
      </w:r>
      <w:r>
        <w:t xml:space="preserve">аправлений и параметров пространственного развития сельского поселения, обеспечивающих создание инструмента управления развитием территории муниципального образования на основе баланса интересов федеральных, региональных и местных органов публичной власти;</w:t>
      </w:r>
      <w:r/>
    </w:p>
    <w:p>
      <w:pPr>
        <w:pStyle w:val="806"/>
      </w:pPr>
      <w:r>
        <w:t xml:space="preserve">подготовка электронной версии генерального плана на основе современных информационных техн</w:t>
      </w:r>
      <w:r>
        <w:t xml:space="preserve">ологий и программного обеспечения с учетом требований к формированию ресурсов информационных систем обеспечения градостроительной деятельности и обеспечения взаимодействия с федеральной государственной информационной системой территориального планирования.</w:t>
      </w:r>
      <w:r/>
    </w:p>
    <w:p>
      <w:pPr>
        <w:pStyle w:val="799"/>
        <w:spacing w:before="144" w:after="120" w:line="240" w:lineRule="auto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В генеральном плане </w:t>
      </w:r>
      <w:r>
        <w:rPr>
          <w:rFonts w:ascii="Tahoma" w:hAnsi="Tahoma" w:cs="Tahoma"/>
          <w:color w:val="auto"/>
        </w:rPr>
        <w:t xml:space="preserve">Богашевского</w:t>
      </w:r>
      <w:r>
        <w:rPr>
          <w:rFonts w:ascii="Tahoma" w:hAnsi="Tahoma" w:cs="Tahoma"/>
          <w:color w:val="auto"/>
        </w:rPr>
        <w:t xml:space="preserve"> сельского поселения приняты следующие проектные периоды: </w:t>
      </w:r>
      <w:r>
        <w:rPr>
          <w:rFonts w:ascii="Tahoma" w:hAnsi="Tahoma" w:cs="Tahoma"/>
          <w:color w:val="auto"/>
        </w:rPr>
      </w:r>
    </w:p>
    <w:p>
      <w:pPr>
        <w:pStyle w:val="806"/>
      </w:pPr>
      <w:r>
        <w:t xml:space="preserve">исходный год подготовки</w:t>
      </w:r>
      <w:r>
        <w:t xml:space="preserve"> генерального плана – конец 2025</w:t>
      </w:r>
      <w:r>
        <w:t xml:space="preserve"> года;</w:t>
      </w:r>
      <w:r/>
    </w:p>
    <w:p>
      <w:pPr>
        <w:pStyle w:val="806"/>
      </w:pPr>
      <w:r>
        <w:t xml:space="preserve">первая очередь реализации генерального плана – конец 2030 года;</w:t>
      </w:r>
      <w:r/>
    </w:p>
    <w:p>
      <w:pPr>
        <w:pStyle w:val="806"/>
      </w:pPr>
      <w:r>
        <w:t xml:space="preserve">расчетный срок реализации генерального плана – конец 2035 года.</w:t>
      </w:r>
      <w:r/>
    </w:p>
    <w:p>
      <w:pPr>
        <w:pStyle w:val="776"/>
        <w:numPr>
          <w:ilvl w:val="0"/>
          <w:numId w:val="1"/>
        </w:numPr>
        <w:ind w:left="0" w:firstLine="0"/>
        <w:jc w:val="both"/>
        <w:spacing w:before="0"/>
        <w:tabs>
          <w:tab w:val="left" w:pos="426" w:leader="none"/>
        </w:tabs>
        <w:rPr>
          <w:rFonts w:ascii="Tahoma" w:hAnsi="Tahoma" w:cs="Tahoma"/>
          <w:b w:val="0"/>
          <w:sz w:val="28"/>
          <w:szCs w:val="28"/>
        </w:rPr>
      </w:pPr>
      <w:r/>
      <w:bookmarkStart w:id="2" w:name="_Toc231914313"/>
      <w:r>
        <w:rPr>
          <w:rFonts w:ascii="Tahoma" w:hAnsi="Tahoma" w:cs="Tahoma"/>
          <w:b w:val="0"/>
          <w:sz w:val="28"/>
          <w:szCs w:val="28"/>
        </w:rPr>
        <w:t xml:space="preserve">Сведения о потребност</w:t>
      </w:r>
      <w:r>
        <w:rPr>
          <w:rFonts w:ascii="Tahoma" w:hAnsi="Tahoma" w:cs="Tahoma"/>
          <w:b w:val="0"/>
          <w:sz w:val="28"/>
          <w:szCs w:val="28"/>
        </w:rPr>
        <w:t xml:space="preserve">и</w:t>
      </w:r>
      <w:r>
        <w:rPr>
          <w:rFonts w:ascii="Tahoma" w:hAnsi="Tahoma" w:cs="Tahoma"/>
          <w:b w:val="0"/>
          <w:sz w:val="28"/>
          <w:szCs w:val="28"/>
        </w:rPr>
        <w:t xml:space="preserve"> в </w:t>
      </w:r>
      <w:r>
        <w:rPr>
          <w:rFonts w:ascii="Tahoma" w:hAnsi="Tahoma" w:cs="Tahoma"/>
          <w:b w:val="0"/>
          <w:sz w:val="28"/>
          <w:szCs w:val="28"/>
        </w:rPr>
        <w:t xml:space="preserve">планируемых для размещения </w:t>
      </w:r>
      <w:r>
        <w:rPr>
          <w:rFonts w:ascii="Tahoma" w:hAnsi="Tahoma" w:cs="Tahoma"/>
          <w:b w:val="0"/>
          <w:sz w:val="28"/>
          <w:szCs w:val="28"/>
        </w:rPr>
        <w:t xml:space="preserve">объектах местного значения</w:t>
      </w:r>
      <w:bookmarkEnd w:id="0"/>
      <w:r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</w:rPr>
        <w:t xml:space="preserve">сельского </w:t>
      </w:r>
      <w:r>
        <w:rPr>
          <w:rFonts w:ascii="Tahoma" w:hAnsi="Tahoma" w:cs="Tahoma"/>
          <w:b w:val="0"/>
          <w:sz w:val="28"/>
          <w:szCs w:val="28"/>
        </w:rPr>
        <w:t xml:space="preserve">поселения</w:t>
      </w:r>
      <w:bookmarkEnd w:id="2"/>
      <w:r/>
      <w:r>
        <w:rPr>
          <w:rFonts w:ascii="Tahoma" w:hAnsi="Tahoma" w:cs="Tahoma"/>
          <w:b w:val="0"/>
          <w:sz w:val="28"/>
          <w:szCs w:val="28"/>
        </w:rPr>
      </w:r>
    </w:p>
    <w:tbl>
      <w:tblPr>
        <w:tblStyle w:val="797"/>
        <w:tblW w:w="5000" w:type="pct"/>
        <w:tblLook w:val="04A0" w:firstRow="1" w:lastRow="0" w:firstColumn="1" w:lastColumn="0" w:noHBand="0" w:noVBand="1"/>
      </w:tblPr>
      <w:tblGrid>
        <w:gridCol w:w="699"/>
        <w:gridCol w:w="4399"/>
        <w:gridCol w:w="2549"/>
        <w:gridCol w:w="2264"/>
      </w:tblGrid>
      <w:tr>
        <w:tblPrEx/>
        <w:trPr>
          <w:tblHeader/>
        </w:trPr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№</w:t>
            </w:r>
            <w:r>
              <w:rPr>
                <w:rFonts w:ascii="Tahoma" w:hAnsi="Tahoma" w:cs="Tahoma"/>
                <w:bCs/>
              </w:rPr>
            </w:r>
          </w:p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 xml:space="preserve">п/п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 xml:space="preserve">Наименование вида объекта местного значения поселения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 xml:space="preserve">Ед. измерения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 xml:space="preserve">Потребность на расчетный срок (2035 г.)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1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gridSpan w:val="3"/>
            <w:tcW w:w="4647" w:type="pct"/>
            <w:vAlign w:val="center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В области электро-, тепло-, газо- и водоснабжения населения, водоотведения, снабжения населения топливом в пределах переданных полномочий, установленных законодательством Российской Федерации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1.1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Электрическая подстанция 35 </w:t>
            </w:r>
            <w:r>
              <w:rPr>
                <w:rFonts w:ascii="Tahoma" w:hAnsi="Tahoma" w:cs="Tahoma"/>
              </w:rPr>
              <w:t xml:space="preserve">кВ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МВА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6,3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1.2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Трансформаторная подстанция (ТП)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МВА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13,2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1.3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Линии электропередачи 35 </w:t>
            </w:r>
            <w:r>
              <w:rPr>
                <w:rFonts w:ascii="Tahoma" w:hAnsi="Tahoma" w:cs="Tahoma"/>
              </w:rPr>
              <w:t xml:space="preserve">кВ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 xml:space="preserve">5</w:t>
            </w:r>
            <w:r>
              <w:rPr>
                <w:rFonts w:ascii="Tahoma" w:hAnsi="Tahoma" w:cs="Tahoma"/>
              </w:rPr>
              <w:t xml:space="preserve">,0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225"/>
        </w:trPr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1.4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Линии электропередачи 10 </w:t>
            </w:r>
            <w:r>
              <w:rPr>
                <w:rFonts w:ascii="Tahoma" w:hAnsi="Tahoma" w:cs="Tahoma"/>
              </w:rPr>
              <w:t xml:space="preserve">кВ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29,6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1.5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Источник тепловой энергии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Гкал/ч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4,55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1.6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Теплопровод магистральный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0,2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1.7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Пункт редуцирования газа (ПРГ)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тыс. куб. м/час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3,02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1.8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Газопровод распределительный высокого давления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2,4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1.9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Водозабор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тыс. куб. м/</w:t>
            </w:r>
            <w:r>
              <w:rPr>
                <w:rFonts w:ascii="Tahoma" w:hAnsi="Tahoma" w:cs="Tahoma"/>
              </w:rPr>
              <w:t xml:space="preserve">сут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1.10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Водопроводные очистные сооружения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тыс. куб. м/</w:t>
            </w:r>
            <w:r>
              <w:rPr>
                <w:rFonts w:ascii="Tahoma" w:hAnsi="Tahoma" w:cs="Tahoma"/>
              </w:rPr>
              <w:t xml:space="preserve">сут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3,2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1.11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Водопровод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19,9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1.12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Очистные сооружения (КОС)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тыс. куб. м/</w:t>
            </w:r>
            <w:r>
              <w:rPr>
                <w:rFonts w:ascii="Tahoma" w:hAnsi="Tahoma" w:cs="Tahoma"/>
              </w:rPr>
              <w:t xml:space="preserve">сут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2,2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1.13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Канализационная насосная станция (КНС)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тыс. куб. м/</w:t>
            </w:r>
            <w:r>
              <w:rPr>
                <w:rFonts w:ascii="Tahoma" w:hAnsi="Tahoma" w:cs="Tahoma"/>
              </w:rPr>
              <w:t xml:space="preserve">сут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0,8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1.14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Канализация самотечная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ahoma" w:hAnsi="Tahoma" w:cs="Tahoma"/>
              </w:rPr>
              <w:t xml:space="preserve">км</w:t>
            </w:r>
            <w:r/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17,5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1.15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Канализация напорная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1,1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2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gridSpan w:val="3"/>
            <w:tcW w:w="4647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В области автомобильных дорог местного значения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2.1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Автомобильные дороги местного значения (в границах населенных пунктов, расположенных в границах сельских поселений)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3,22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2.2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textDirection w:val="lrTb"/>
            <w:noWrap w:val="false"/>
          </w:tcPr>
          <w:p>
            <w:pPr>
              <w:rPr>
                <w:rFonts w:ascii="Tahoma" w:hAnsi="Tahoma" w:cs="Tahoma"/>
                <w:b/>
                <w:strike/>
              </w:rPr>
            </w:pPr>
            <w:r>
              <w:rPr>
                <w:rFonts w:ascii="Tahoma" w:hAnsi="Tahoma" w:cs="Tahoma"/>
              </w:rPr>
              <w:t xml:space="preserve">Главные улицы</w:t>
            </w:r>
            <w:r>
              <w:rPr>
                <w:rFonts w:ascii="Tahoma" w:hAnsi="Tahoma" w:cs="Tahoma"/>
                <w:b/>
                <w:strike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2,58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2.3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Улицы в жилой застройке</w:t>
            </w:r>
            <w:r>
              <w:rPr>
                <w:rStyle w:val="822"/>
                <w:rFonts w:ascii="Tahoma" w:hAnsi="Tahoma" w:cs="Tahoma"/>
              </w:rPr>
              <w:footnoteReference w:id="3"/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23,31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2.4</w:t>
            </w:r>
            <w:r>
              <w:rPr>
                <w:rFonts w:ascii="Tahoma" w:hAnsi="Tahoma" w:cs="Tahoma"/>
              </w:rPr>
            </w:r>
          </w:p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Остановочные пункты</w:t>
            </w:r>
            <w:r>
              <w:rPr>
                <w:rFonts w:ascii="Tahoma" w:hAnsi="Tahoma" w:cs="Tahoma"/>
              </w:rPr>
            </w:r>
          </w:p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объектов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10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количество маршрутов общественного пассажирского транспорта, единиц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1-3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3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gridSpan w:val="3"/>
            <w:tcW w:w="4647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В области физической культуры и массового спорта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3.1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Tahoma" w:hAnsi="Tahoma" w:cs="Tahoma" w:eastAsiaTheme="minorHAnsi"/>
              </w:rPr>
            </w:pPr>
            <w:r>
              <w:rPr>
                <w:rFonts w:ascii="Tahoma" w:hAnsi="Tahoma" w:cs="Tahoma" w:eastAsiaTheme="minorHAnsi"/>
              </w:rPr>
              <w:t xml:space="preserve">Спортивные сооружения (плоскостные спортивные сооружения)</w:t>
            </w:r>
            <w:r>
              <w:rPr>
                <w:rFonts w:ascii="Tahoma" w:hAnsi="Tahoma" w:cs="Tahoma" w:eastAsiaTheme="minorHAnsi"/>
              </w:rPr>
            </w:r>
          </w:p>
        </w:tc>
        <w:tc>
          <w:tcPr>
            <w:tcW w:w="1286" w:type="pc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 кв. 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14 634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единовременная пропускная способность, человек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281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3.2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vAlign w:val="center"/>
            <w:textDirection w:val="lrTb"/>
            <w:noWrap w:val="false"/>
          </w:tcPr>
          <w:p>
            <w:pPr>
              <w:widowControl/>
              <w:rPr>
                <w:rFonts w:ascii="Tahoma" w:hAnsi="Tahoma" w:cs="Tahoma" w:eastAsiaTheme="minorHAnsi"/>
              </w:rPr>
            </w:pPr>
            <w:r>
              <w:rPr>
                <w:rFonts w:ascii="Tahoma" w:hAnsi="Tahoma" w:cs="Tahoma" w:eastAsiaTheme="minorHAnsi"/>
              </w:rPr>
              <w:t xml:space="preserve">Спортивные сооружения (лыжные базы)</w:t>
            </w:r>
            <w:r>
              <w:rPr>
                <w:rFonts w:ascii="Tahoma" w:hAnsi="Tahoma" w:cs="Tahoma" w:eastAsiaTheme="minorHAnsi"/>
              </w:rPr>
            </w:r>
          </w:p>
        </w:tc>
        <w:tc>
          <w:tcPr>
            <w:tcW w:w="1286" w:type="pc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единовременная пропускная способность, человек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25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4</w:t>
            </w:r>
            <w:r>
              <w:rPr>
                <w:rFonts w:ascii="Tahoma" w:hAnsi="Tahoma" w:cs="Tahoma"/>
                <w:b/>
              </w:rPr>
            </w:r>
          </w:p>
        </w:tc>
        <w:tc>
          <w:tcPr>
            <w:gridSpan w:val="3"/>
            <w:tcW w:w="4647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 w:eastAsiaTheme="minorHAnsi"/>
                <w:b/>
                <w:bCs/>
              </w:rPr>
              <w:t xml:space="preserve">В иных областях в связи с решением вопросов местного значения сельского поселения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4.1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Детские игровые площадки (расположенные на территориях общего пользования) 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кв. 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3415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4.2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Скверы, в </w:t>
            </w:r>
            <w:r>
              <w:rPr>
                <w:rFonts w:ascii="Tahoma" w:hAnsi="Tahoma" w:cs="Tahoma"/>
              </w:rPr>
              <w:t xml:space="preserve">т.ч</w:t>
            </w:r>
            <w:r>
              <w:rPr>
                <w:rFonts w:ascii="Tahoma" w:hAnsi="Tahoma" w:cs="Tahoma"/>
              </w:rPr>
              <w:t xml:space="preserve"> аллеи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тыс. кв. 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76,55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4.3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Благоустроенные пляжи, места массовой околоводной рекреации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тыс. кв. 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125,5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4.4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Объекты обеспечения пожарной безопасности, пожарные резервуары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куб.</w:t>
            </w:r>
            <w:r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 xml:space="preserve">м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1242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3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4.5</w:t>
            </w:r>
            <w:r>
              <w:rPr>
                <w:rFonts w:ascii="Tahoma" w:hAnsi="Tahoma" w:cs="Tahoma"/>
              </w:rPr>
            </w:r>
          </w:p>
        </w:tc>
        <w:tc>
          <w:tcPr>
            <w:tcW w:w="2219" w:type="pc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Кладбища</w:t>
            </w:r>
            <w:r>
              <w:rPr>
                <w:rFonts w:ascii="Tahoma" w:hAnsi="Tahoma" w:cs="Tahoma"/>
              </w:rPr>
            </w:r>
          </w:p>
        </w:tc>
        <w:tc>
          <w:tcPr>
            <w:tcW w:w="12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единиц/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1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1/ 3,86</w:t>
            </w:r>
            <w:r>
              <w:rPr>
                <w:rFonts w:ascii="Tahoma" w:hAnsi="Tahoma" w:cs="Tahoma"/>
              </w:rPr>
            </w:r>
          </w:p>
        </w:tc>
      </w:tr>
    </w:tbl>
    <w:p>
      <w:pPr>
        <w:sectPr>
          <w:footerReference w:type="default" r:id="rId12"/>
          <w:footnotePr/>
          <w:endnotePr/>
          <w:type w:val="continuous"/>
          <w:pgSz w:w="11906" w:h="16838" w:orient="portrait"/>
          <w:pgMar w:top="1134" w:right="851" w:bottom="1134" w:left="1134" w:header="708" w:footer="708" w:gutter="0"/>
          <w:cols w:num="1" w:sep="0" w:space="708" w:equalWidth="1"/>
          <w:docGrid w:linePitch="360"/>
        </w:sectPr>
      </w:pPr>
      <w:r/>
      <w:r/>
    </w:p>
    <w:p>
      <w:pPr>
        <w:pStyle w:val="776"/>
        <w:numPr>
          <w:ilvl w:val="0"/>
          <w:numId w:val="1"/>
        </w:numPr>
        <w:ind w:left="0" w:firstLine="0"/>
        <w:jc w:val="both"/>
        <w:spacing w:before="0"/>
        <w:tabs>
          <w:tab w:val="left" w:pos="426" w:leader="none"/>
        </w:tabs>
        <w:rPr>
          <w:rFonts w:ascii="Tahoma" w:hAnsi="Tahoma" w:cs="Tahoma"/>
          <w:b w:val="0"/>
          <w:sz w:val="28"/>
          <w:szCs w:val="28"/>
        </w:rPr>
      </w:pPr>
      <w:r/>
      <w:bookmarkStart w:id="3" w:name="_Toc187582502"/>
      <w:r/>
      <w:bookmarkStart w:id="4" w:name="_Toc231914314"/>
      <w:r>
        <w:rPr>
          <w:rFonts w:ascii="Tahoma" w:hAnsi="Tahoma" w:cs="Tahoma"/>
          <w:b w:val="0"/>
          <w:sz w:val="28"/>
          <w:szCs w:val="28"/>
        </w:rPr>
        <w:t xml:space="preserve">Характеристики зон с особыми условиями использования территорий</w:t>
      </w:r>
      <w:bookmarkEnd w:id="3"/>
      <w:r/>
      <w:bookmarkEnd w:id="4"/>
      <w:r/>
      <w:r>
        <w:rPr>
          <w:rFonts w:ascii="Tahoma" w:hAnsi="Tahoma" w:cs="Tahoma"/>
          <w:b w:val="0"/>
          <w:sz w:val="28"/>
          <w:szCs w:val="28"/>
        </w:rPr>
      </w:r>
    </w:p>
    <w:p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свя</w:t>
      </w:r>
      <w:r>
        <w:rPr>
          <w:rFonts w:ascii="Tahoma" w:hAnsi="Tahoma" w:cs="Tahoma"/>
          <w:sz w:val="24"/>
          <w:szCs w:val="24"/>
        </w:rPr>
        <w:t xml:space="preserve">зи с потребностью в планируемых для размещения объектов местного значения сельского поселения различного функционального назначения, оказывающих влияние на окружающую среду, требуется установление следующих зон с особыми условиями использования территории:</w:t>
      </w:r>
      <w:r>
        <w:rPr>
          <w:rFonts w:ascii="Tahoma" w:hAnsi="Tahoma" w:cs="Tahoma"/>
          <w:sz w:val="24"/>
          <w:szCs w:val="24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22"/>
        <w:gridCol w:w="2440"/>
        <w:gridCol w:w="7944"/>
        <w:gridCol w:w="3637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 w:type="page" w:clear="all"/>
            </w:r>
            <w:r>
              <w:rPr>
                <w:rFonts w:ascii="Tahoma" w:hAnsi="Tahoma" w:cs="Tahoma"/>
                <w:sz w:val="20"/>
                <w:szCs w:val="20"/>
              </w:rPr>
              <w:br w:type="page" w:clear="all"/>
            </w:r>
            <w:r>
              <w:rPr>
                <w:rFonts w:ascii="Tahoma" w:hAnsi="Tahoma" w:cs="Tahoma"/>
                <w:sz w:val="20"/>
                <w:szCs w:val="20"/>
              </w:rPr>
              <w:br w:type="page" w:clear="all"/>
            </w:r>
            <w:r>
              <w:rPr>
                <w:rFonts w:ascii="Tahoma" w:hAnsi="Tahoma" w:cs="Tahoma"/>
                <w:sz w:val="20"/>
                <w:szCs w:val="20"/>
              </w:rPr>
              <w:br w:type="page" w:clear="all"/>
            </w:r>
            <w:r>
              <w:rPr>
                <w:rFonts w:ascii="Tahoma" w:hAnsi="Tahoma" w:cs="Tahoma"/>
                <w:sz w:val="20"/>
                <w:szCs w:val="20"/>
              </w:rPr>
              <w:br w:type="page" w:clear="all"/>
              <w:t xml:space="preserve">№ п/п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Вид зоны с особыми условиями использования территорий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Режим использования или ограничения 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на использование территории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Нормативно-правовой документ, устанавливающий режим использования или ограничения 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на использование территории 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для каждого вида зон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</w:tr>
    </w:tbl>
    <w:p>
      <w:pPr>
        <w:spacing w:line="20" w:lineRule="exact"/>
      </w:pPr>
      <w:r/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21"/>
        <w:gridCol w:w="2441"/>
        <w:gridCol w:w="7944"/>
        <w:gridCol w:w="3637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4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spacing w:line="256" w:lineRule="auto"/>
              <w:widowControl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Санитарно-защитная зона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pct"/>
            <w:textDirection w:val="lrTb"/>
            <w:noWrap w:val="false"/>
          </w:tcPr>
          <w:p>
            <w:pPr>
              <w:pStyle w:val="813"/>
              <w:ind w:left="0"/>
              <w:spacing w:line="257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 санитарно-защитной зоне не допускаетс</w:t>
            </w:r>
            <w:r>
              <w:rPr>
                <w:rFonts w:ascii="Tahoma" w:hAnsi="Tahoma" w:cs="Tahoma"/>
                <w:sz w:val="20"/>
                <w:szCs w:val="20"/>
              </w:rPr>
              <w:t xml:space="preserve">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территории садоводческих товариществ и коттеджной застройки, коллективных или индивидуальных дачных и са</w:t>
            </w:r>
            <w:r>
              <w:rPr>
                <w:rFonts w:ascii="Tahoma" w:hAnsi="Tahoma" w:cs="Tahoma"/>
                <w:sz w:val="20"/>
                <w:szCs w:val="20"/>
              </w:rPr>
              <w:t xml:space="preserve">дово-огородных участков, а также другие территории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ind w:left="0"/>
              <w:spacing w:line="257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</w:t>
            </w:r>
            <w:r>
              <w:rPr>
                <w:rFonts w:ascii="Tahoma" w:hAnsi="Tahoma" w:cs="Tahoma"/>
                <w:sz w:val="20"/>
                <w:szCs w:val="20"/>
              </w:rPr>
              <w:t xml:space="preserve">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ind w:left="0"/>
              <w:spacing w:line="257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 границах санитарно-защитной з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оны не допускается использование</w:t>
            </w:r>
            <w:bookmarkStart w:id="5" w:name="_GoBack"/>
            <w:r/>
            <w:bookmarkEnd w:id="5"/>
            <w:r>
              <w:rPr>
                <w:rFonts w:ascii="Tahoma" w:hAnsi="Tahoma" w:cs="Tahoma"/>
                <w:sz w:val="20"/>
                <w:szCs w:val="20"/>
              </w:rPr>
              <w:t xml:space="preserve"> земельных участков в целях: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ind w:left="0"/>
              <w:spacing w:line="257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7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</w:t>
            </w:r>
            <w:r>
              <w:rPr>
                <w:rFonts w:ascii="Tahoma" w:hAnsi="Tahoma" w:cs="Tahoma"/>
                <w:sz w:val="20"/>
                <w:szCs w:val="20"/>
              </w:rPr>
              <w:t xml:space="preserve">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</w:t>
            </w:r>
            <w:r>
              <w:rPr>
                <w:rFonts w:ascii="Tahoma" w:hAnsi="Tahoma" w:cs="Tahoma"/>
                <w:sz w:val="20"/>
                <w:szCs w:val="20"/>
              </w:rPr>
              <w:t xml:space="preserve">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СанПиН 2.2.1/2.1.1.1200-03 «Санитарно-защитные зоны и санитарная классификация предприятий, сооружений и иных объектов» 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Правила установления санитарно-защитных зон и использования земельных участков, расположенных в границах санитарно-защитных зон, утвержденные Постановлением Правительства Российской Федерации от 03.03.2018 № 222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spacing w:line="256" w:lineRule="auto"/>
              <w:widowControl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Первый пояс зон санитарной охраны (строгого режима) источников водоснабжения и водопроводов питьевого назначения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На территории первого пояса зон санитарной охраны (строгого режима) источников водоснабжения и водопроводов питьевого назначения не допускается: посадка высокоствольных деревьев, все виды строительства, не имеющие не</w:t>
            </w:r>
            <w:r>
              <w:rPr>
                <w:rFonts w:ascii="Tahoma" w:hAnsi="Tahoma" w:cs="Tahoma"/>
                <w:sz w:val="20"/>
                <w:szCs w:val="20"/>
              </w:rPr>
              <w:t xml:space="preserve">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удобрений.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СанПиН 2.1.4.1110-02 «Зоны санитарной охраны источников водоснабжения и водопроводов питьевого назначения»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</w:tr>
      <w:tr>
        <w:tblPrEx/>
        <w:trPr>
          <w:trHeight w:val="17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spacing w:line="256" w:lineRule="auto"/>
              <w:widowControl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Охранные зоны </w:t>
            </w:r>
            <w:r>
              <w:rPr>
                <w:rFonts w:ascii="Tahoma" w:hAnsi="Tahoma" w:cs="Tahoma"/>
                <w:sz w:val="20"/>
                <w:szCs w:val="20"/>
              </w:rPr>
              <w:t xml:space="preserve">газораспределитель</w:t>
            </w:r>
            <w:r>
              <w:rPr>
                <w:rFonts w:ascii="Tahoma" w:hAnsi="Tahoma" w:cs="Tahoma"/>
                <w:sz w:val="20"/>
                <w:szCs w:val="20"/>
              </w:rPr>
              <w:t xml:space="preserve">ных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сетей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pct"/>
            <w:textDirection w:val="lrTb"/>
            <w:noWrap w:val="false"/>
          </w:tcPr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пункте 2 </w:t>
            </w:r>
            <w:r>
              <w:rPr>
                <w:rFonts w:ascii="Tahoma" w:hAnsi="Tahoma" w:cs="Tahoma"/>
                <w:sz w:val="20"/>
                <w:szCs w:val="20"/>
              </w:rPr>
              <w:t xml:space="preserve">Правил охраны газораспределительных сетей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: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а) строить объекты жилищно-гражданского и производственного назначения;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г) 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д) устраивать свалки и склады, разливать растворы кислот, солей, щелочей и других химически активных веществ;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ж) разводить огонь и размещать источники огня;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з) рыть погреба, копать и обрабатывать почву сельскохозяйственными и мелиоративными орудиями и механизмами на глубину более 0,3 метра;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л) самовольно подключаться к газораспределительным сетям.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Правила охраны газораспределительных сетей, утвержденные Постановлением Правительства Российской Федерации от 20.11.2000 № 878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spacing w:line="256" w:lineRule="auto"/>
              <w:widowControl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Охранн</w:t>
            </w:r>
            <w:r>
              <w:rPr>
                <w:rFonts w:ascii="Tahoma" w:hAnsi="Tahoma" w:cs="Tahoma"/>
                <w:sz w:val="20"/>
                <w:szCs w:val="20"/>
              </w:rPr>
              <w:t xml:space="preserve">ые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зон</w:t>
            </w:r>
            <w:r>
              <w:rPr>
                <w:rFonts w:ascii="Tahoma" w:hAnsi="Tahoma" w:cs="Tahoma"/>
                <w:sz w:val="20"/>
                <w:szCs w:val="20"/>
              </w:rPr>
              <w:t xml:space="preserve">ы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объектов электросетевого хозяйства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pct"/>
            <w:textDirection w:val="lrTb"/>
            <w:noWrap w:val="false"/>
          </w:tcPr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 охранных зонах запрещается осуществлять любые действия, которые могут нарушить безопасную работу объектов электросетев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б) проводить работы, угрожающие повреждению объектов электросетевого хозяйст</w:t>
            </w:r>
            <w:r>
              <w:rPr>
                <w:rFonts w:ascii="Tahoma" w:hAnsi="Tahoma" w:cs="Tahoma"/>
                <w:sz w:val="20"/>
                <w:szCs w:val="20"/>
              </w:rPr>
              <w:t xml:space="preserve">ва, размещать объекты и предметы, которые могут препятствовать доступу обслуживающего персонала и техники к объектам электроэнергетики, без сохранения и (или) создания, в том числе в соответствии с требованиями нормативно-технических документов, необходимы</w:t>
            </w:r>
            <w:r>
              <w:rPr>
                <w:rFonts w:ascii="Tahoma" w:hAnsi="Tahoma" w:cs="Tahoma"/>
                <w:sz w:val="20"/>
                <w:szCs w:val="20"/>
              </w:rPr>
              <w:t xml:space="preserve">х для такого доступа проходов и подъездов в целях обеспечения эксплуатации оборудования, зданий и сооружений объектов электроэнергетики, проведения работ по ликвидации аварий и устранению их последствий на всем протяжении границы объекта электроэнергетики;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в) находиться в пре</w:t>
            </w:r>
            <w:r>
              <w:rPr>
                <w:rFonts w:ascii="Tahoma" w:hAnsi="Tahoma" w:cs="Tahoma"/>
                <w:sz w:val="20"/>
                <w:szCs w:val="20"/>
              </w:rPr>
              <w:t xml:space="preserve">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</w:t>
            </w:r>
            <w:r>
              <w:rPr>
                <w:rFonts w:ascii="Tahoma" w:hAnsi="Tahoma" w:cs="Tahoma"/>
                <w:sz w:val="20"/>
                <w:szCs w:val="20"/>
              </w:rPr>
              <w:t xml:space="preserve">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г) размещать свалки;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е) убирать, уничтожать, перемещать, засыпать и повреждать предупреждающие и информационные знаки (либо предупреждающие и информационные надписи, нанесенные на объекты электроэнергетики);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ж)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з) осуществлять использование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боеприпасов.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9. В охранных зонах, установленных для объектов электросетевого хозяйства напряжением свыше 1000 вольт, помимо действий, предусмотренных </w:t>
            </w:r>
            <w:r>
              <w:rPr>
                <w:rFonts w:ascii="Tahoma" w:hAnsi="Tahoma" w:cs="Tahoma" w:eastAsiaTheme="majorEastAsia"/>
                <w:sz w:val="20"/>
                <w:szCs w:val="20"/>
              </w:rPr>
              <w:t xml:space="preserve">пунктом 8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зон, запрещается: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а) складировать или размещать хранилища любых, в том числе горюче-смазочных, материалов;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б) размещать детские и спортивные площадки, стадионы, рынки, торговые точки, полевые </w:t>
            </w:r>
            <w:r>
              <w:rPr>
                <w:rFonts w:ascii="Tahoma" w:hAnsi="Tahoma" w:cs="Tahoma"/>
                <w:sz w:val="20"/>
                <w:szCs w:val="20"/>
              </w:rPr>
              <w:t xml:space="preserve">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д) осуществлять проход судов с поднятыми стрелами кранов и других механизмов (в охранных зонах воздушных линий электропередачи);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jc w:val="both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е)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</w:t>
            </w:r>
            <w:r>
              <w:rPr>
                <w:rFonts w:ascii="Tahoma" w:hAnsi="Tahoma" w:cs="Tahoma"/>
                <w:sz w:val="20"/>
                <w:szCs w:val="20"/>
              </w:rPr>
              <w:t xml:space="preserve">кВ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 выше (исключительно в охранных зонах воздушных линий электропередачи);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ж) устанавливать рекламные конструкции.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Правила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утвержденные постановлением Правительства Российской Федерации от 24.02.2009 № 160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spacing w:line="256" w:lineRule="auto"/>
              <w:widowControl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Охранные зоны </w:t>
            </w:r>
            <w:r>
              <w:rPr>
                <w:rFonts w:ascii="Tahoma" w:hAnsi="Tahoma" w:cs="Tahoma"/>
                <w:sz w:val="20"/>
                <w:szCs w:val="20"/>
              </w:rPr>
              <w:t xml:space="preserve">тепловых сетей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6" w:type="pct"/>
            <w:textDirection w:val="lrTb"/>
            <w:noWrap w:val="false"/>
          </w:tcPr>
          <w:p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пределах охранных зон тепловых сетей не допускается производить действия, которые могут повлечь нарушения в нормальной работе тепловых сетей, их повреждение, несчастные случаи, или препятствующие ремонту: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5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размещать автозаправочные станции, хранилища горюче-смазочных материалов, складировать агрессивные химические материалы;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5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загромождать подходы и подъезды к объектам и сооружениям тепловых сетей, складировать тяжелые и громоздкие материалы, возводить временные строения и заборы;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5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устраивать спортивные и игровые площадки, неорганизованные рынки, остановочные пункты общественного транспорта, стоянки всех видов машин и механизмов, гаражи, огороды и т.п.;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6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устраивать всякого рода свалки, разжигать костры, сжигать бытовой мусор или промышленные отходы;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6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производить работы ударными механизмами, производить сброс и слив едких и коррозионно-активных веществ и горюче-смазочных материалов;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6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проникать в помещения 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6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специальным переходным мостикам);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6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в здания должны быть </w:t>
            </w:r>
            <w:r>
              <w:rPr>
                <w:rFonts w:ascii="Tahoma" w:hAnsi="Tahoma" w:cs="Tahoma"/>
                <w:sz w:val="20"/>
                <w:szCs w:val="20"/>
              </w:rPr>
              <w:t xml:space="preserve">загерметизированы</w:t>
            </w:r>
            <w:r>
              <w:rPr>
                <w:rFonts w:ascii="Tahoma" w:hAnsi="Tahoma" w:cs="Tahoma"/>
                <w:sz w:val="20"/>
                <w:szCs w:val="20"/>
              </w:rPr>
              <w:t xml:space="preserve">.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В пределах территории охранных зон тепловых сетей без письменного согласия предприятий и организаций, в ведении которых находятся эти сети, запрещается: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7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производить строительство, капитальный ремонт, реконструкцию или снос любых зданий и сооружений;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7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производить земляные работы, планировку грунта, посадку деревьев и кустарников, устраивать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монументальные клумбы;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pStyle w:val="813"/>
              <w:numPr>
                <w:ilvl w:val="0"/>
                <w:numId w:val="7"/>
              </w:numPr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производить погрузочно-разгрузочные работы, а также работы, связанные с разбиванием грунта и дорожных покрытий;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сооружать переезды и переходы через трубопроводы тепловых сетей.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pct"/>
            <w:textDirection w:val="lrTb"/>
            <w:noWrap w:val="false"/>
          </w:tcPr>
          <w:p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Типовые правила охраны коммунальных тепловых сетей, утвержденные Приказом Министерства архитектуры, строительства и жилищно-коммунального хозяйства Российской Федерации от 17.08.1992 № 197</w:t>
            </w:r>
            <w:r>
              <w:rPr>
                <w:rFonts w:ascii="Tahoma" w:hAnsi="Tahoma" w:cs="Tahoma"/>
                <w:sz w:val="20"/>
                <w:szCs w:val="20"/>
              </w:rPr>
            </w:r>
          </w:p>
        </w:tc>
      </w:tr>
    </w:tbl>
    <w:p>
      <w:pPr>
        <w:pStyle w:val="776"/>
        <w:numPr>
          <w:ilvl w:val="0"/>
          <w:numId w:val="1"/>
        </w:numPr>
        <w:ind w:left="0" w:firstLine="0"/>
        <w:jc w:val="both"/>
        <w:spacing w:before="0"/>
        <w:tabs>
          <w:tab w:val="left" w:pos="426" w:leader="none"/>
        </w:tabs>
        <w:rPr>
          <w:rFonts w:ascii="Tahoma" w:hAnsi="Tahoma" w:cs="Tahoma"/>
          <w:b w:val="0"/>
          <w:sz w:val="28"/>
          <w:szCs w:val="28"/>
        </w:rPr>
      </w:pPr>
      <w:r/>
      <w:bookmarkStart w:id="6" w:name="_Toc204349588"/>
      <w:r/>
      <w:bookmarkStart w:id="7" w:name="_Toc231914315"/>
      <w:r>
        <w:rPr>
          <w:rFonts w:ascii="Tahoma" w:hAnsi="Tahoma" w:cs="Tahoma"/>
          <w:b w:val="0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объектов местного значения муниципального района, за исключением линейных объектов</w:t>
      </w:r>
      <w:bookmarkEnd w:id="6"/>
      <w:r/>
      <w:bookmarkEnd w:id="7"/>
      <w:r/>
      <w:r>
        <w:rPr>
          <w:rFonts w:ascii="Tahoma" w:hAnsi="Tahoma" w:cs="Tahoma"/>
          <w:b w:val="0"/>
          <w:sz w:val="28"/>
          <w:szCs w:val="28"/>
        </w:rPr>
      </w:r>
    </w:p>
    <w:tbl>
      <w:tblPr>
        <w:tblStyle w:val="797"/>
        <w:tblW w:w="5000" w:type="pct"/>
        <w:tblLook w:val="04A0" w:firstRow="1" w:lastRow="0" w:firstColumn="1" w:lastColumn="0" w:noHBand="0" w:noVBand="1"/>
      </w:tblPr>
      <w:tblGrid>
        <w:gridCol w:w="518"/>
        <w:gridCol w:w="2596"/>
        <w:gridCol w:w="1972"/>
        <w:gridCol w:w="1735"/>
        <w:gridCol w:w="8022"/>
      </w:tblGrid>
      <w:tr>
        <w:tblPrEx/>
        <w:trPr>
          <w:tblHeader/>
        </w:trPr>
        <w:tc>
          <w:tcPr>
            <w:tcW w:w="5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№ п/п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25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Вид функциональной зоны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gridSpan w:val="2"/>
            <w:tcW w:w="370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Параметры функциональных зон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80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Сведения о планируемых объектах федерального значения, объектах регионального значения, объектах местного значения муниципального района</w:t>
            </w:r>
            <w:r>
              <w:rPr>
                <w:rFonts w:ascii="Tahoma" w:hAnsi="Tahoma" w:cs="Tahoma"/>
                <w:bCs/>
              </w:rPr>
            </w:r>
          </w:p>
        </w:tc>
      </w:tr>
      <w:tr>
        <w:tblPrEx/>
        <w:trPr>
          <w:tblHeader/>
        </w:trPr>
        <w:tc>
          <w:tcPr>
            <w:tcW w:w="5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259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19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наименование параметра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17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количественный показатель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80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</w:r>
            <w:r>
              <w:rPr>
                <w:rFonts w:ascii="Tahoma" w:hAnsi="Tahoma" w:cs="Tahoma"/>
                <w:bCs/>
              </w:rPr>
            </w:r>
          </w:p>
        </w:tc>
      </w:tr>
    </w:tbl>
    <w:p>
      <w:pPr>
        <w:spacing w:line="20" w:lineRule="exact"/>
      </w:pPr>
      <w:r/>
      <w:r/>
    </w:p>
    <w:tbl>
      <w:tblPr>
        <w:tblStyle w:val="797"/>
        <w:tblW w:w="5000" w:type="pct"/>
        <w:tblLook w:val="04A0" w:firstRow="1" w:lastRow="0" w:firstColumn="1" w:lastColumn="0" w:noHBand="0" w:noVBand="1"/>
      </w:tblPr>
      <w:tblGrid>
        <w:gridCol w:w="524"/>
        <w:gridCol w:w="2590"/>
        <w:gridCol w:w="1980"/>
        <w:gridCol w:w="1697"/>
        <w:gridCol w:w="8052"/>
      </w:tblGrid>
      <w:tr>
        <w:tblPrEx/>
        <w:trPr>
          <w:tblHeader/>
        </w:trPr>
        <w:tc>
          <w:tcPr>
            <w:tcW w:w="5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1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25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2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3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16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4</w:t>
            </w:r>
            <w:r>
              <w:rPr>
                <w:rFonts w:ascii="Tahoma" w:hAnsi="Tahoma" w:cs="Tahoma"/>
                <w:bCs/>
              </w:rPr>
            </w:r>
          </w:p>
        </w:tc>
        <w:tc>
          <w:tcPr>
            <w:tcW w:w="80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5</w:t>
            </w:r>
            <w:r>
              <w:rPr>
                <w:rFonts w:ascii="Tahoma" w:hAnsi="Tahoma" w:cs="Tahoma"/>
                <w:bCs/>
              </w:rPr>
            </w:r>
          </w:p>
        </w:tc>
      </w:tr>
      <w:tr>
        <w:tblPrEx/>
        <w:trPr/>
        <w:tc>
          <w:tcPr>
            <w:tcW w:w="524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застройки индивидуальными жилыми домами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930,7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Места несанкционированного размещения отходов производства и потребления (Несанкционированная свалка, Региональное значение,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д. </w:t>
            </w:r>
            <w:r>
              <w:rPr>
                <w:rFonts w:ascii="Tahoma" w:hAnsi="Tahoma" w:cs="Tahoma"/>
              </w:rPr>
              <w:t xml:space="preserve">Белоусово</w:t>
            </w:r>
            <w:r>
              <w:rPr>
                <w:rFonts w:ascii="Tahoma" w:hAnsi="Tahoma" w:cs="Tahoma"/>
              </w:rPr>
              <w:t xml:space="preserve">) - 3 объекта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дошкольной образовательной организации (Дошкольная образовательная организация,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 Богашево, Вместимость, мест: 100)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дошкольной образовательной организации (Дошкольная образовательная организация,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 Петухово, Вместимость, мест: 145) - 1 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524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Максимальная плотность населения, чел./га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40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1453"/>
        </w:trPr>
        <w:tc>
          <w:tcPr>
            <w:tcW w:w="524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застройки малоэтажными жилыми домами (до 4 этажей, включая мансардный)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104,5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vMerge w:val="restart"/>
            <w:textDirection w:val="lrTb"/>
            <w:noWrap w:val="false"/>
          </w:tcPr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Объект (здание, комплекс зданий), на базе которого оказывается первичная медико-санитарная помощь (Приобретение здания для организации работы фельдшерско-акушерского пункта, Региональное значение,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п. Ключи, Мощность медицинской организации по оказанию медицинской помощи амбулаторно, количество посещений в смену: 10)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дошкольной образовательной организации (Дошкольная образовательная организация,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д. </w:t>
            </w:r>
            <w:r>
              <w:rPr>
                <w:rFonts w:ascii="Tahoma" w:hAnsi="Tahoma" w:cs="Tahoma"/>
              </w:rPr>
              <w:t xml:space="preserve">Писарево</w:t>
            </w:r>
            <w:r>
              <w:rPr>
                <w:rFonts w:ascii="Tahoma" w:hAnsi="Tahoma" w:cs="Tahoma"/>
              </w:rPr>
              <w:t xml:space="preserve">, Вместимость, мест: 280)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общеобразовательной организации (Общеобразовательная организация,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д. </w:t>
            </w:r>
            <w:r>
              <w:rPr>
                <w:rFonts w:ascii="Tahoma" w:hAnsi="Tahoma" w:cs="Tahoma"/>
              </w:rPr>
              <w:t xml:space="preserve">Писарево</w:t>
            </w:r>
            <w:r>
              <w:rPr>
                <w:rFonts w:ascii="Tahoma" w:hAnsi="Tahoma" w:cs="Tahoma"/>
              </w:rPr>
              <w:t xml:space="preserve">, Вместимость, мест: 385)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Библиотека, ее филиал (Библиотека,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д. </w:t>
            </w:r>
            <w:r>
              <w:rPr>
                <w:rFonts w:ascii="Tahoma" w:hAnsi="Tahoma" w:cs="Tahoma"/>
              </w:rPr>
              <w:t xml:space="preserve">Писарево</w:t>
            </w:r>
            <w:r>
              <w:rPr>
                <w:rFonts w:ascii="Tahoma" w:hAnsi="Tahoma" w:cs="Tahoma"/>
              </w:rPr>
              <w:t xml:space="preserve">, Фонды библиотек, тыс. экземпляров: 15)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Объект культурно-досугового (клубного) типа (Клуб,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д. </w:t>
            </w:r>
            <w:r>
              <w:rPr>
                <w:rFonts w:ascii="Tahoma" w:hAnsi="Tahoma" w:cs="Tahoma"/>
              </w:rPr>
              <w:t xml:space="preserve">Писарево</w:t>
            </w:r>
            <w:r>
              <w:rPr>
                <w:rFonts w:ascii="Tahoma" w:hAnsi="Tahoma" w:cs="Tahoma"/>
              </w:rPr>
              <w:t xml:space="preserve">, Вместимость, мест: 400)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Спортивное сооружение (Спортивный комплекс,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д.</w:t>
            </w:r>
            <w:r>
              <w:rPr>
                <w:rFonts w:ascii="Tahoma" w:hAnsi="Tahoma" w:cs="Tahoma"/>
                <w:lang w:val="en-US"/>
              </w:rPr>
              <w:t xml:space="preserve"> </w:t>
            </w:r>
            <w:r>
              <w:rPr>
                <w:rFonts w:ascii="Tahoma" w:hAnsi="Tahoma" w:cs="Tahoma"/>
              </w:rPr>
              <w:t xml:space="preserve">Писарево</w:t>
            </w:r>
            <w:r>
              <w:rPr>
                <w:rFonts w:ascii="Tahoma" w:hAnsi="Tahoma" w:cs="Tahoma"/>
              </w:rPr>
              <w:t xml:space="preserve">, Единовременная пропускная способность, чел: 32) - 1 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524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Максимальная плотность населения, чел./га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200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524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застройки </w:t>
            </w:r>
            <w:r>
              <w:rPr>
                <w:rFonts w:ascii="Tahoma" w:hAnsi="Tahoma" w:cs="Tahoma"/>
              </w:rPr>
              <w:t xml:space="preserve">среднеэтажными</w:t>
            </w:r>
            <w:r>
              <w:rPr>
                <w:rFonts w:ascii="Tahoma" w:hAnsi="Tahoma" w:cs="Tahoma"/>
              </w:rPr>
              <w:t xml:space="preserve"> жилыми домами (от 5 до 8 этажей, включая мансардный)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3,9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vMerge w:val="restart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Планируемые к размещению объекты федерального значения, объекты регионального значения, объекты местного значения муниципального района отсутствуют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524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Максимальная плотность населения, чел./га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250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vMerge w:val="continue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</w:r>
            <w:r>
              <w:rPr>
                <w:rFonts w:ascii="Tahoma" w:hAnsi="Tahoma" w:cs="Tahoma"/>
              </w:rPr>
            </w:r>
          </w:p>
        </w:tc>
      </w:tr>
      <w:tr>
        <w:tblPrEx/>
        <w:trPr/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Общественно-деловые зоны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38,7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дошкольной образовательной организации (Дошкольная образовательная организация,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 </w:t>
            </w:r>
            <w:r>
              <w:rPr>
                <w:rFonts w:ascii="Tahoma" w:hAnsi="Tahoma" w:cs="Tahoma"/>
              </w:rPr>
              <w:t xml:space="preserve">Лучаново</w:t>
            </w:r>
            <w:r>
              <w:rPr>
                <w:rFonts w:ascii="Tahoma" w:hAnsi="Tahoma" w:cs="Tahoma"/>
              </w:rPr>
              <w:t xml:space="preserve">, Вместимость, мест: 145)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общеобразовательной организации (Начальная школа-детский сад,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 Богашево, Вместимость, мест: 320)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дошкольной образовательной организации (Дошкольные группы МБОУ "</w:t>
            </w:r>
            <w:r>
              <w:rPr>
                <w:rFonts w:ascii="Tahoma" w:hAnsi="Tahoma" w:cs="Tahoma"/>
              </w:rPr>
              <w:t xml:space="preserve">Лучановская</w:t>
            </w:r>
            <w:r>
              <w:rPr>
                <w:rFonts w:ascii="Tahoma" w:hAnsi="Tahoma" w:cs="Tahoma"/>
              </w:rPr>
              <w:t xml:space="preserve"> СОШ", Местное значение муниципального района,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 </w:t>
            </w:r>
            <w:r>
              <w:rPr>
                <w:rFonts w:ascii="Tahoma" w:hAnsi="Tahoma" w:cs="Tahoma"/>
              </w:rPr>
              <w:t xml:space="preserve">Лучаново</w:t>
            </w:r>
            <w:r>
              <w:rPr>
                <w:rFonts w:ascii="Tahoma" w:hAnsi="Tahoma" w:cs="Tahoma"/>
              </w:rPr>
              <w:t xml:space="preserve">, ул.</w:t>
            </w:r>
            <w:r>
              <w:rPr>
                <w:rFonts w:ascii="Tahoma" w:hAnsi="Tahoma" w:cs="Tahoma"/>
                <w:lang w:val="en-US"/>
              </w:rPr>
              <w:t xml:space="preserve"> </w:t>
            </w:r>
            <w:r>
              <w:rPr>
                <w:rFonts w:ascii="Tahoma" w:hAnsi="Tahoma" w:cs="Tahoma"/>
              </w:rPr>
              <w:t xml:space="preserve">Олега Кошевого, 17, Вместимость, мест: 79)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дошкольной образовательной организации (Дошкольные группы МБОУ "</w:t>
            </w:r>
            <w:r>
              <w:rPr>
                <w:rFonts w:ascii="Tahoma" w:hAnsi="Tahoma" w:cs="Tahoma"/>
              </w:rPr>
              <w:t xml:space="preserve">Петуховская</w:t>
            </w:r>
            <w:r>
              <w:rPr>
                <w:rFonts w:ascii="Tahoma" w:hAnsi="Tahoma" w:cs="Tahoma"/>
              </w:rPr>
              <w:t xml:space="preserve"> СОШ" Томского района, Местное значение муниципального района,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 Петухово, ул. Рабочая, 20, Вместимость, мест: 30)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Здание (комплекс зданий) общеобразовательной организации (Здание для МБОУ «</w:t>
            </w:r>
            <w:r>
              <w:rPr>
                <w:rFonts w:ascii="Tahoma" w:hAnsi="Tahoma" w:cs="Tahoma"/>
              </w:rPr>
              <w:t xml:space="preserve">Богашевская</w:t>
            </w:r>
            <w:r>
              <w:rPr>
                <w:rFonts w:ascii="Tahoma" w:hAnsi="Tahoma" w:cs="Tahoma"/>
              </w:rPr>
              <w:t xml:space="preserve"> СОШ» им. А.И. Федорова»,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 Богашево, ул. Киевская, 28, Вместимость, мест: 385)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Объект культурно-досугового (клубного) типа (Сельский многофункциональный культурный центр (МБУК ЦНТ И СКД "РАДУГА"),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</w:t>
            </w:r>
            <w:r>
              <w:rPr>
                <w:rFonts w:ascii="Tahoma" w:hAnsi="Tahoma" w:cs="Tahoma"/>
                <w:lang w:val="en-US"/>
              </w:rPr>
              <w:t xml:space="preserve"> </w:t>
            </w:r>
            <w:r>
              <w:rPr>
                <w:rFonts w:ascii="Tahoma" w:hAnsi="Tahoma" w:cs="Tahoma"/>
              </w:rPr>
              <w:t xml:space="preserve">Богашево, Вместимость, мест: 650)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Объект культурно-досугового (клубного) типа (МБУК ЦНТ И СКД "РАДУГА", Местное значение муниципального района,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 Богашево, ул. Новостройка, 20б, Вместимость, мест: 120)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Спортивное сооружение (Спортивный комплекс,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c. </w:t>
            </w:r>
            <w:r>
              <w:rPr>
                <w:rFonts w:ascii="Tahoma" w:hAnsi="Tahoma" w:cs="Tahoma"/>
              </w:rPr>
              <w:t xml:space="preserve">Лучаново</w:t>
            </w:r>
            <w:r>
              <w:rPr>
                <w:rFonts w:ascii="Tahoma" w:hAnsi="Tahoma" w:cs="Tahoma"/>
              </w:rPr>
              <w:t xml:space="preserve">, Единовременная пропускная способность, чел: 32) - 1 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724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5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Многофункциональная общественно-деловая зона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eastAsia="Tahoma" w:cs="Tahoma"/>
              </w:rPr>
              <w:t xml:space="preserve">14,</w:t>
            </w:r>
            <w:r>
              <w:rPr>
                <w:rFonts w:ascii="Tahoma" w:hAnsi="Tahoma" w:eastAsia="Tahoma" w:cs="Tahoma"/>
                <w:lang w:val="en-US"/>
              </w:rPr>
              <w:t xml:space="preserve">5</w:t>
            </w:r>
            <w:r>
              <w:rPr>
                <w:rFonts w:ascii="Tahoma" w:hAnsi="Tahoma" w:cs="Tahoma"/>
                <w:lang w:val="en-US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Планируемые к размещению объекты федерального значения, объекты регионального значения, объекты местного значения муниципального района отсутствуют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966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6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специализированной общественной застройки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37,7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Планируемые к размещению объекты федерального значения, объекты регионального значения, объекты местного значения муниципального района отсутствуют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966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7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Производственные зоны, зоны инженерной и транспортной инфраструктур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eastAsia="Tahoma" w:cs="Tahoma"/>
              </w:rPr>
              <w:t xml:space="preserve">249,2</w:t>
            </w:r>
            <w:r>
              <w:rPr>
                <w:rFonts w:ascii="Tahoma" w:hAnsi="Tahoma" w:cs="Tahoma"/>
                <w:lang w:val="en-US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Планируемые к размещению объекты федерального значения, объекты регионального значения, объекты местного значения муниципального района отсутствуют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966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8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инженерной инфраструктуры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eastAsia="Tahoma" w:cs="Tahoma"/>
              </w:rPr>
              <w:t xml:space="preserve">15,</w:t>
            </w:r>
            <w:r>
              <w:rPr>
                <w:rFonts w:ascii="Tahoma" w:hAnsi="Tahoma" w:eastAsia="Tahoma" w:cs="Tahoma"/>
                <w:lang w:val="en-US"/>
              </w:rPr>
              <w:t xml:space="preserve">4</w:t>
            </w:r>
            <w:r>
              <w:rPr>
                <w:rFonts w:ascii="Tahoma" w:hAnsi="Tahoma" w:cs="Tahoma"/>
                <w:lang w:val="en-US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Спортивное сооружение (Плоскостное спортивное сооружение,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c. </w:t>
            </w:r>
            <w:r>
              <w:rPr>
                <w:rFonts w:ascii="Tahoma" w:hAnsi="Tahoma" w:cs="Tahoma"/>
              </w:rPr>
              <w:t xml:space="preserve">Лучаново</w:t>
            </w:r>
            <w:r>
              <w:rPr>
                <w:rFonts w:ascii="Tahoma" w:hAnsi="Tahoma" w:cs="Tahoma"/>
              </w:rPr>
              <w:t xml:space="preserve">, Единовременная пропускная способность, чел: 30) – 1 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615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9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транспортной инфраструктуры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324,9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Планируемые к размещению объекты федерального значения, объекты регионального значения, объекты местного значения муниципального района отсутствуют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588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10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Зоны сельскохозяйственного использования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623,7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Места несанкционированного размещения отходов производства и потребления (Несанкционированная свалка, Региональное значение,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поселение) - 1 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272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11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садоводства, огородничества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1640,0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Планируемые к размещению объекты федерального значения, объекты регионального значения, объекты местного значения муниципального района отсутствуют</w:t>
            </w:r>
            <w:r>
              <w:rPr>
                <w:rFonts w:ascii="Tahoma" w:hAnsi="Tahoma" w:cs="Tahoma"/>
              </w:rPr>
            </w:r>
          </w:p>
        </w:tc>
      </w:tr>
    </w:tbl>
    <w:p>
      <w:r>
        <w:br w:type="page" w:clear="all"/>
      </w:r>
      <w:r/>
    </w:p>
    <w:tbl>
      <w:tblPr>
        <w:tblStyle w:val="797"/>
        <w:tblW w:w="5000" w:type="pct"/>
        <w:tblLook w:val="04A0" w:firstRow="1" w:lastRow="0" w:firstColumn="1" w:lastColumn="0" w:noHBand="0" w:noVBand="1"/>
      </w:tblPr>
      <w:tblGrid>
        <w:gridCol w:w="524"/>
        <w:gridCol w:w="2590"/>
        <w:gridCol w:w="1980"/>
        <w:gridCol w:w="1697"/>
        <w:gridCol w:w="8052"/>
      </w:tblGrid>
      <w:tr>
        <w:tblPrEx/>
        <w:trPr>
          <w:trHeight w:val="70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12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Зоны рекреационного назначения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203,6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Места несанкционированного размещения отходов производства и потребления (Несанкционированная свалка, Региональное значение,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д. </w:t>
            </w:r>
            <w:r>
              <w:rPr>
                <w:rFonts w:ascii="Tahoma" w:hAnsi="Tahoma" w:cs="Tahoma"/>
              </w:rPr>
              <w:t xml:space="preserve">Некрасово</w:t>
            </w:r>
            <w:r>
              <w:rPr>
                <w:rFonts w:ascii="Tahoma" w:hAnsi="Tahoma" w:cs="Tahoma"/>
              </w:rPr>
              <w:t xml:space="preserve">) - 1 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Спортивное сооружение (Спортивный комплекс,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c. Петухово, Единовременная пропускная способность, чел: 32) – 1 объект</w:t>
            </w:r>
            <w:r>
              <w:rPr>
                <w:rFonts w:ascii="Tahoma" w:hAnsi="Tahoma" w:cs="Tahoma"/>
              </w:rPr>
            </w:r>
          </w:p>
          <w:p>
            <w:pPr>
              <w:spacing w:before="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Спортивное сооружение (Спортивный комплекс,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 Богашево, Единовременная пропускная способность, чел: 32) – 1 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70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13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озелененных территорий общего пользования (парки, сады, скверы, бульвары, городские леса)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eastAsia="Tahoma" w:cs="Tahoma"/>
              </w:rPr>
            </w:pPr>
            <w:r>
              <w:rPr>
                <w:rFonts w:ascii="Tahoma" w:hAnsi="Tahoma" w:eastAsia="Tahoma" w:cs="Tahoma"/>
              </w:rPr>
              <w:t xml:space="preserve">108,3</w:t>
            </w:r>
            <w:r>
              <w:rPr>
                <w:rFonts w:ascii="Tahoma" w:hAnsi="Tahoma" w:eastAsia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Спортивное сооружение (Плоскостное спортивное сооружение, Местное значение муниципального района, Планируемый к размещению,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 Богашево, Единовременная пропускная способность, чел: 25) – 1 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697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14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кладбищ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30,7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Места несанкционированного размещения отходов производства и потребления (Несанкционированная свалка, Региональное значение,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поселение, с. </w:t>
            </w:r>
            <w:r>
              <w:rPr>
                <w:rFonts w:ascii="Tahoma" w:hAnsi="Tahoma" w:cs="Tahoma"/>
              </w:rPr>
              <w:t xml:space="preserve">Лучаново</w:t>
            </w:r>
            <w:r>
              <w:rPr>
                <w:rFonts w:ascii="Tahoma" w:hAnsi="Tahoma" w:cs="Tahoma"/>
              </w:rPr>
              <w:t xml:space="preserve">) - 1 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724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15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складирования и захоронения отходов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6,0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Места несанкционированного размещения отходов производства и потребления (Несанкционированная свалка, Региональное значение, Планируемый к ликвидации, </w:t>
            </w:r>
            <w:r>
              <w:rPr>
                <w:rFonts w:ascii="Tahoma" w:hAnsi="Tahoma" w:cs="Tahoma"/>
              </w:rPr>
              <w:t xml:space="preserve">Богашевское</w:t>
            </w:r>
            <w:r>
              <w:rPr>
                <w:rFonts w:ascii="Tahoma" w:hAnsi="Tahoma" w:cs="Tahoma"/>
              </w:rPr>
              <w:t xml:space="preserve"> сельское поселение) - 1 объект</w:t>
            </w:r>
            <w:r>
              <w:rPr>
                <w:rFonts w:ascii="Tahoma" w:hAnsi="Tahoma" w:cs="Tahoma"/>
              </w:rPr>
            </w:r>
          </w:p>
        </w:tc>
      </w:tr>
      <w:tr>
        <w:tblPrEx/>
        <w:trPr>
          <w:trHeight w:val="1072"/>
        </w:trPr>
        <w:tc>
          <w:tcPr>
            <w:tcW w:w="524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16</w:t>
            </w:r>
            <w:r>
              <w:rPr>
                <w:rFonts w:ascii="Tahoma" w:hAnsi="Tahoma" w:cs="Tahoma"/>
              </w:rPr>
            </w:r>
          </w:p>
        </w:tc>
        <w:tc>
          <w:tcPr>
            <w:tcW w:w="259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Зона озелененных территорий специального назначения</w:t>
            </w:r>
            <w:r>
              <w:rPr>
                <w:rFonts w:ascii="Tahoma" w:hAnsi="Tahoma" w:cs="Tahoma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Площадь зоны, га</w:t>
            </w:r>
            <w:r>
              <w:rPr>
                <w:rFonts w:ascii="Tahoma" w:hAnsi="Tahoma" w:cs="Tahoma"/>
              </w:rPr>
            </w:r>
          </w:p>
        </w:tc>
        <w:tc>
          <w:tcPr>
            <w:tcW w:w="1697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437,1</w:t>
            </w:r>
            <w:r>
              <w:rPr>
                <w:rFonts w:ascii="Tahoma" w:hAnsi="Tahoma" w:cs="Tahoma"/>
              </w:rPr>
            </w:r>
          </w:p>
        </w:tc>
        <w:tc>
          <w:tcPr>
            <w:tcW w:w="8052" w:type="dxa"/>
            <w:textDirection w:val="lrTb"/>
            <w:noWrap w:val="false"/>
          </w:tcPr>
          <w:p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Планируемые к размещению объекты федерального значения, объекты регионального значения, объекты местного значения муниципального района отсутствуют</w:t>
            </w:r>
            <w:r>
              <w:rPr>
                <w:rFonts w:ascii="Tahoma" w:hAnsi="Tahoma" w:cs="Tahoma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6838" w:h="11906" w:orient="landscape"/>
      <w:pgMar w:top="1134" w:right="851" w:bottom="993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type="continuationNotice" w:id="1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45081714"/>
      <w:docPartObj>
        <w:docPartGallery w:val="Page Numbers (Bottom of Page)"/>
        <w:docPartUnique w:val="true"/>
      </w:docPartObj>
      <w:rPr/>
    </w:sdtPr>
    <w:sdtContent>
      <w:p>
        <w:pPr>
          <w:pStyle w:val="801"/>
          <w:jc w:val="right"/>
          <w:rPr>
            <w:rFonts w:ascii="Tahoma" w:hAnsi="Tahoma" w:cs="Tahoma"/>
          </w:rPr>
        </w:pPr>
        <w:r>
          <w:rPr>
            <w:rFonts w:ascii="Tahoma" w:hAnsi="Tahoma" w:cs="Tahoma"/>
          </w:rPr>
          <w:fldChar w:fldCharType="begin"/>
        </w:r>
        <w:r>
          <w:rPr>
            <w:rFonts w:ascii="Tahoma" w:hAnsi="Tahoma" w:cs="Tahoma"/>
          </w:rPr>
          <w:instrText xml:space="preserve">PAGE   \* MERGEFORMAT</w:instrText>
        </w:r>
        <w:r>
          <w:rPr>
            <w:rFonts w:ascii="Tahoma" w:hAnsi="Tahoma" w:cs="Tahoma"/>
          </w:rPr>
          <w:fldChar w:fldCharType="separate"/>
        </w:r>
        <w:r>
          <w:rPr>
            <w:rFonts w:ascii="Tahoma" w:hAnsi="Tahoma" w:cs="Tahoma"/>
          </w:rPr>
          <w:t xml:space="preserve">5</w:t>
        </w:r>
        <w:r>
          <w:rPr>
            <w:rFonts w:ascii="Tahoma" w:hAnsi="Tahoma" w:cs="Tahoma"/>
          </w:rPr>
          <w:fldChar w:fldCharType="end"/>
        </w:r>
        <w:r>
          <w:rPr>
            <w:rFonts w:ascii="Tahoma" w:hAnsi="Tahoma" w:cs="Tahoma"/>
          </w:rPr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jc w:val="right"/>
      <w:rPr>
        <w:rFonts w:ascii="Tahoma" w:hAnsi="Tahoma" w:cs="Tahoma"/>
      </w:rPr>
    </w:pPr>
    <w:r>
      <w:rPr>
        <w:rFonts w:ascii="Tahoma" w:hAnsi="Tahoma" w:cs="Tahoma"/>
      </w:rPr>
    </w:r>
    <w:r>
      <w:rPr>
        <w:rFonts w:ascii="Tahoma" w:hAnsi="Tahoma" w:cs="Tahoma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type="continuationNotice" w:id="1">
    <w:p>
      <w:r/>
      <w:r/>
    </w:p>
  </w:footnote>
  <w:footnote w:id="3">
    <w:p>
      <w:pPr>
        <w:pStyle w:val="820"/>
        <w:rPr>
          <w:rFonts w:ascii="Tahoma" w:hAnsi="Tahoma" w:cs="Tahoma"/>
        </w:rPr>
      </w:pPr>
      <w:r>
        <w:rPr>
          <w:rStyle w:val="822"/>
          <w:rFonts w:ascii="Tahoma" w:hAnsi="Tahoma" w:cs="Tahoma"/>
        </w:rPr>
        <w:footnoteRef/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Протяженность улично-дорожной сети, планируемой к строительству и реконструкции, может быть уточнена при разработке проектной документации и проведении технических работ</w:t>
      </w:r>
      <w:r>
        <w:rPr>
          <w:rFonts w:ascii="Tahoma" w:hAnsi="Tahoma" w:cs="Tahoma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63476665"/>
      <w:docPartObj>
        <w:docPartGallery w:val="Page Numbers (Top of Page)"/>
        <w:docPartUnique w:val="true"/>
      </w:docPartObj>
      <w:rPr/>
    </w:sdtPr>
    <w:sdtContent>
      <w:p>
        <w:pPr>
          <w:pStyle w:val="808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10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</w:r>
      </w:p>
    </w:sdtContent>
  </w:sdt>
  <w:p>
    <w:pPr>
      <w:pStyle w:val="80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11160241"/>
      <w:docPartObj>
        <w:docPartGallery w:val="Page Numbers (Top of Page)"/>
        <w:docPartUnique w:val="true"/>
      </w:docPartObj>
      <w:rPr/>
    </w:sdtPr>
    <w:sdtContent>
      <w:p>
        <w:pPr>
          <w:pStyle w:val="808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4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</w:r>
      </w:p>
    </w:sdtContent>
  </w:sdt>
  <w:p>
    <w:pPr>
      <w:pStyle w:val="8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pStyle w:val="777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pStyle w:val="778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779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780"/>
      <w:isLgl w:val="false"/>
      <w:suff w:val="tab"/>
      <w:lvlText w:val="%1.%2.%3.%4.%5"/>
      <w:lvlJc w:val="left"/>
      <w:pPr>
        <w:ind w:left="1008" w:hanging="1008"/>
      </w:pPr>
      <w:rPr>
        <w:b/>
      </w:rPr>
    </w:lvl>
    <w:lvl w:ilvl="5">
      <w:start w:val="1"/>
      <w:numFmt w:val="decimal"/>
      <w:pStyle w:val="781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782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783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784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3">
    <w:multiLevelType w:val="hybridMultilevel"/>
    <w:lvl w:ilvl="0">
      <w:start w:val="1"/>
      <w:numFmt w:val="bullet"/>
      <w:pStyle w:val="806"/>
      <w:isLgl w:val="false"/>
      <w:suff w:val="space"/>
      <w:lvlText w:val="–"/>
      <w:lvlJc w:val="left"/>
      <w:pPr>
        <w:ind w:left="1" w:firstLine="567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567"/>
      </w:pPr>
      <w:rPr>
        <w:rFonts w:hint="default" w:ascii="Times New Roman" w:hAnsi="Times New Roman" w:cs="Times New Roman"/>
      </w:rPr>
    </w:lvl>
    <w:lvl w:ilvl="2">
      <w:start w:val="1"/>
      <w:numFmt w:val="bullet"/>
      <w:isLgl w:val="false"/>
      <w:suff w:val="space"/>
      <w:lvlText w:val=""/>
      <w:lvlJc w:val="left"/>
      <w:pPr>
        <w:ind w:left="0" w:firstLine="567"/>
      </w:pPr>
      <w:rPr>
        <w:rFonts w:hint="default" w:ascii="Symbol" w:hAnsi="Symbol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567"/>
      </w:pPr>
      <w:rPr>
        <w:rFonts w:hint="default" w:ascii="Times New Roman" w:hAnsi="Times New Roman" w:cs="Times New Roman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567"/>
      </w:pPr>
      <w:rPr>
        <w:rFonts w:hint="default" w:ascii="Times New Roman" w:hAnsi="Times New Roman" w:cs="Times New Roman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567"/>
      </w:pPr>
      <w:rPr>
        <w:rFonts w:hint="default" w:ascii="Times New Roman" w:hAnsi="Times New Roman" w:cs="Times New Roman"/>
      </w:rPr>
    </w:lvl>
    <w:lvl w:ilvl="6">
      <w:start w:val="1"/>
      <w:numFmt w:val="bullet"/>
      <w:isLgl w:val="false"/>
      <w:suff w:val="space"/>
      <w:lvlText w:val=""/>
      <w:lvlJc w:val="left"/>
      <w:pPr>
        <w:ind w:left="0" w:firstLine="567"/>
      </w:pPr>
      <w:rPr>
        <w:rFonts w:hint="default" w:ascii="Symbol" w:hAnsi="Symbol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567"/>
      </w:pPr>
      <w:rPr>
        <w:rFonts w:hint="default" w:ascii="Times New Roman" w:hAnsi="Times New Roman" w:cs="Times New Roman"/>
      </w:rPr>
    </w:lvl>
    <w:lvl w:ilvl="8">
      <w:start w:val="1"/>
      <w:numFmt w:val="bullet"/>
      <w:isLgl w:val="false"/>
      <w:suff w:val="space"/>
      <w:lvlText w:val=""/>
      <w:lvlJc w:val="left"/>
      <w:pPr>
        <w:ind w:left="0" w:firstLine="567"/>
      </w:pPr>
      <w:rPr>
        <w:rFonts w:hint="default" w:ascii="Symbol" w:hAnsi="Symbol"/>
      </w:rPr>
    </w:lvl>
  </w:abstractNum>
  <w:abstractNum w:abstractNumId="4">
    <w:multiLevelType w:val="hybridMultilevel"/>
    <w:lvl w:ilvl="0">
      <w:start w:val="1"/>
      <w:numFmt w:val="bullet"/>
      <w:pStyle w:val="798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eachPage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85"/>
    <w:link w:val="77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85"/>
    <w:link w:val="777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85"/>
    <w:link w:val="77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85"/>
    <w:link w:val="77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85"/>
    <w:link w:val="7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85"/>
    <w:link w:val="78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85"/>
    <w:link w:val="78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85"/>
    <w:link w:val="78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85"/>
    <w:link w:val="78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75"/>
    <w:next w:val="77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85"/>
    <w:link w:val="35"/>
    <w:uiPriority w:val="10"/>
    <w:rPr>
      <w:sz w:val="48"/>
      <w:szCs w:val="48"/>
    </w:rPr>
  </w:style>
  <w:style w:type="paragraph" w:styleId="37">
    <w:name w:val="Subtitle"/>
    <w:basedOn w:val="775"/>
    <w:next w:val="77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85"/>
    <w:link w:val="37"/>
    <w:uiPriority w:val="11"/>
    <w:rPr>
      <w:sz w:val="24"/>
      <w:szCs w:val="24"/>
    </w:rPr>
  </w:style>
  <w:style w:type="paragraph" w:styleId="39">
    <w:name w:val="Quote"/>
    <w:basedOn w:val="775"/>
    <w:next w:val="77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75"/>
    <w:next w:val="77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85"/>
    <w:link w:val="808"/>
    <w:uiPriority w:val="99"/>
  </w:style>
  <w:style w:type="character" w:styleId="46">
    <w:name w:val="Footer Char"/>
    <w:basedOn w:val="785"/>
    <w:link w:val="801"/>
    <w:uiPriority w:val="99"/>
  </w:style>
  <w:style w:type="paragraph" w:styleId="47">
    <w:name w:val="Caption"/>
    <w:basedOn w:val="775"/>
    <w:next w:val="77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8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7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820"/>
    <w:uiPriority w:val="99"/>
    <w:rPr>
      <w:sz w:val="18"/>
    </w:rPr>
  </w:style>
  <w:style w:type="paragraph" w:styleId="179">
    <w:name w:val="endnote text"/>
    <w:basedOn w:val="77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85"/>
    <w:uiPriority w:val="99"/>
    <w:semiHidden/>
    <w:unhideWhenUsed/>
    <w:rPr>
      <w:vertAlign w:val="superscript"/>
    </w:rPr>
  </w:style>
  <w:style w:type="paragraph" w:styleId="183">
    <w:name w:val="toc 2"/>
    <w:basedOn w:val="775"/>
    <w:next w:val="77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75"/>
    <w:next w:val="77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75"/>
    <w:next w:val="77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75"/>
    <w:next w:val="77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75"/>
    <w:next w:val="77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75"/>
    <w:next w:val="77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75"/>
    <w:next w:val="77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75"/>
    <w:next w:val="77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75"/>
    <w:next w:val="775"/>
    <w:uiPriority w:val="99"/>
    <w:unhideWhenUsed/>
    <w:pPr>
      <w:spacing w:after="0" w:afterAutospacing="0"/>
    </w:pPr>
  </w:style>
  <w:style w:type="paragraph" w:styleId="775" w:default="1">
    <w:name w:val="Normal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776">
    <w:name w:val="Heading 1"/>
    <w:basedOn w:val="775"/>
    <w:next w:val="775"/>
    <w:link w:val="788"/>
    <w:uiPriority w:val="9"/>
    <w:qFormat/>
    <w:pPr>
      <w:keepLines/>
      <w:keepNext/>
      <w:pageBreakBefore/>
      <w:spacing w:before="120" w:after="120"/>
      <w:outlineLvl w:val="0"/>
    </w:pPr>
    <w:rPr>
      <w:rFonts w:eastAsiaTheme="majorEastAsia"/>
      <w:b/>
      <w:sz w:val="24"/>
      <w:szCs w:val="24"/>
    </w:rPr>
  </w:style>
  <w:style w:type="paragraph" w:styleId="777">
    <w:name w:val="Heading 2"/>
    <w:basedOn w:val="775"/>
    <w:next w:val="775"/>
    <w:link w:val="789"/>
    <w:uiPriority w:val="9"/>
    <w:unhideWhenUsed/>
    <w:qFormat/>
    <w:pPr>
      <w:numPr>
        <w:ilvl w:val="1"/>
        <w:numId w:val="1"/>
      </w:numPr>
      <w:keepLines/>
      <w:keepNext/>
      <w:spacing w:before="40"/>
      <w:outlineLvl w:val="1"/>
    </w:pPr>
    <w:rPr>
      <w:rFonts w:eastAsiaTheme="majorEastAsia"/>
      <w:b/>
      <w:sz w:val="24"/>
      <w:szCs w:val="24"/>
    </w:rPr>
  </w:style>
  <w:style w:type="paragraph" w:styleId="778">
    <w:name w:val="Heading 3"/>
    <w:basedOn w:val="775"/>
    <w:next w:val="775"/>
    <w:link w:val="790"/>
    <w:uiPriority w:val="9"/>
    <w:unhideWhenUsed/>
    <w:qFormat/>
    <w:pPr>
      <w:numPr>
        <w:ilvl w:val="2"/>
        <w:numId w:val="1"/>
      </w:numPr>
      <w:keepLines/>
      <w:keepNext/>
      <w:spacing w:before="120" w:after="120"/>
      <w:outlineLvl w:val="2"/>
    </w:pPr>
    <w:rPr>
      <w:rFonts w:eastAsiaTheme="majorEastAsia"/>
      <w:b/>
      <w:sz w:val="24"/>
      <w:szCs w:val="24"/>
    </w:rPr>
  </w:style>
  <w:style w:type="paragraph" w:styleId="779">
    <w:name w:val="Heading 4"/>
    <w:basedOn w:val="775"/>
    <w:next w:val="775"/>
    <w:link w:val="791"/>
    <w:uiPriority w:val="9"/>
    <w:unhideWhenUsed/>
    <w:qFormat/>
    <w:pPr>
      <w:numPr>
        <w:ilvl w:val="3"/>
        <w:numId w:val="1"/>
      </w:numPr>
      <w:keepLines/>
      <w:keepNext/>
      <w:spacing w:before="40"/>
      <w:outlineLvl w:val="3"/>
    </w:pPr>
    <w:rPr>
      <w:rFonts w:eastAsiaTheme="majorEastAsia"/>
      <w:b/>
      <w:iCs/>
      <w:color w:val="000000" w:themeColor="text1"/>
    </w:rPr>
  </w:style>
  <w:style w:type="paragraph" w:styleId="780">
    <w:name w:val="Heading 5"/>
    <w:basedOn w:val="775"/>
    <w:next w:val="775"/>
    <w:link w:val="792"/>
    <w:uiPriority w:val="9"/>
    <w:unhideWhenUsed/>
    <w:qFormat/>
    <w:pPr>
      <w:numPr>
        <w:ilvl w:val="4"/>
        <w:numId w:val="1"/>
      </w:numPr>
      <w:keepLines/>
      <w:keepNext/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781">
    <w:name w:val="Heading 6"/>
    <w:basedOn w:val="775"/>
    <w:next w:val="775"/>
    <w:link w:val="793"/>
    <w:uiPriority w:val="9"/>
    <w:semiHidden/>
    <w:unhideWhenUsed/>
    <w:qFormat/>
    <w:pPr>
      <w:numPr>
        <w:ilvl w:val="5"/>
        <w:numId w:val="1"/>
      </w:numPr>
      <w:keepLines/>
      <w:keepNext/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782">
    <w:name w:val="Heading 7"/>
    <w:basedOn w:val="775"/>
    <w:next w:val="775"/>
    <w:link w:val="794"/>
    <w:uiPriority w:val="9"/>
    <w:semiHidden/>
    <w:unhideWhenUsed/>
    <w:qFormat/>
    <w:pPr>
      <w:numPr>
        <w:ilvl w:val="6"/>
        <w:numId w:val="1"/>
      </w:numPr>
      <w:keepLines/>
      <w:keepNext/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783">
    <w:name w:val="Heading 8"/>
    <w:basedOn w:val="775"/>
    <w:next w:val="775"/>
    <w:link w:val="795"/>
    <w:uiPriority w:val="9"/>
    <w:semiHidden/>
    <w:unhideWhenUsed/>
    <w:qFormat/>
    <w:pPr>
      <w:numPr>
        <w:ilvl w:val="7"/>
        <w:numId w:val="1"/>
      </w:numPr>
      <w:keepLines/>
      <w:keepNext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784">
    <w:name w:val="Heading 9"/>
    <w:basedOn w:val="775"/>
    <w:next w:val="775"/>
    <w:link w:val="796"/>
    <w:uiPriority w:val="9"/>
    <w:semiHidden/>
    <w:unhideWhenUsed/>
    <w:qFormat/>
    <w:pPr>
      <w:numPr>
        <w:ilvl w:val="8"/>
        <w:numId w:val="1"/>
      </w:numPr>
      <w:keepLines/>
      <w:keepNext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785" w:default="1">
    <w:name w:val="Default Paragraph Font"/>
    <w:uiPriority w:val="1"/>
    <w:semiHidden/>
    <w:unhideWhenUsed/>
  </w:style>
  <w:style w:type="table" w:styleId="7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7" w:default="1">
    <w:name w:val="No List"/>
    <w:uiPriority w:val="99"/>
    <w:semiHidden/>
    <w:unhideWhenUsed/>
  </w:style>
  <w:style w:type="character" w:styleId="788" w:customStyle="1">
    <w:name w:val="Заголовок 1 Знак"/>
    <w:basedOn w:val="785"/>
    <w:link w:val="776"/>
    <w:uiPriority w:val="9"/>
    <w:rPr>
      <w:rFonts w:ascii="Times New Roman" w:hAnsi="Times New Roman" w:cs="Times New Roman" w:eastAsiaTheme="majorEastAsia"/>
      <w:b/>
      <w:sz w:val="24"/>
      <w:szCs w:val="24"/>
    </w:rPr>
  </w:style>
  <w:style w:type="character" w:styleId="789" w:customStyle="1">
    <w:name w:val="Заголовок 2 Знак"/>
    <w:basedOn w:val="785"/>
    <w:link w:val="777"/>
    <w:uiPriority w:val="9"/>
    <w:rPr>
      <w:rFonts w:ascii="Times New Roman" w:hAnsi="Times New Roman" w:cs="Times New Roman" w:eastAsiaTheme="majorEastAsia"/>
      <w:b/>
      <w:sz w:val="24"/>
      <w:szCs w:val="24"/>
    </w:rPr>
  </w:style>
  <w:style w:type="character" w:styleId="790" w:customStyle="1">
    <w:name w:val="Заголовок 3 Знак"/>
    <w:basedOn w:val="785"/>
    <w:link w:val="778"/>
    <w:uiPriority w:val="9"/>
    <w:rPr>
      <w:rFonts w:ascii="Times New Roman" w:hAnsi="Times New Roman" w:cs="Times New Roman" w:eastAsiaTheme="majorEastAsia"/>
      <w:b/>
      <w:sz w:val="24"/>
      <w:szCs w:val="24"/>
    </w:rPr>
  </w:style>
  <w:style w:type="character" w:styleId="791" w:customStyle="1">
    <w:name w:val="Заголовок 4 Знак"/>
    <w:basedOn w:val="785"/>
    <w:link w:val="779"/>
    <w:uiPriority w:val="9"/>
    <w:rPr>
      <w:rFonts w:ascii="Times New Roman" w:hAnsi="Times New Roman" w:cs="Times New Roman" w:eastAsiaTheme="majorEastAsia"/>
      <w:b/>
      <w:iCs/>
      <w:color w:val="000000" w:themeColor="text1"/>
    </w:rPr>
  </w:style>
  <w:style w:type="character" w:styleId="792" w:customStyle="1">
    <w:name w:val="Заголовок 5 Знак"/>
    <w:basedOn w:val="785"/>
    <w:link w:val="780"/>
    <w:uiPriority w:val="9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793" w:customStyle="1">
    <w:name w:val="Заголовок 6 Знак"/>
    <w:basedOn w:val="785"/>
    <w:link w:val="781"/>
    <w:uiPriority w:val="9"/>
    <w:semiHidden/>
    <w:rPr>
      <w:rFonts w:asciiTheme="majorHAnsi" w:hAnsiTheme="majorHAnsi" w:eastAsiaTheme="majorEastAsia" w:cstheme="majorBidi"/>
      <w:color w:val="1f3763" w:themeColor="accent1" w:themeShade="7F"/>
    </w:rPr>
  </w:style>
  <w:style w:type="character" w:styleId="794" w:customStyle="1">
    <w:name w:val="Заголовок 7 Знак"/>
    <w:basedOn w:val="785"/>
    <w:link w:val="782"/>
    <w:uiPriority w:val="9"/>
    <w:semiHidden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795" w:customStyle="1">
    <w:name w:val="Заголовок 8 Знак"/>
    <w:basedOn w:val="785"/>
    <w:link w:val="783"/>
    <w:uiPriority w:val="9"/>
    <w:semiHidden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796" w:customStyle="1">
    <w:name w:val="Заголовок 9 Знак"/>
    <w:basedOn w:val="785"/>
    <w:link w:val="784"/>
    <w:uiPriority w:val="9"/>
    <w:semiHidden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table" w:styleId="797">
    <w:name w:val="Table Grid"/>
    <w:basedOn w:val="786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98" w:customStyle="1">
    <w:name w:val="список –"/>
    <w:basedOn w:val="775"/>
    <w:qFormat/>
    <w:pPr>
      <w:numPr>
        <w:ilvl w:val="0"/>
        <w:numId w:val="2"/>
      </w:numPr>
      <w:jc w:val="both"/>
      <w:spacing w:after="60"/>
      <w:tabs>
        <w:tab w:val="left" w:pos="992" w:leader="none"/>
      </w:tabs>
    </w:pPr>
    <w:rPr>
      <w:sz w:val="28"/>
      <w:szCs w:val="24"/>
      <w:lang w:eastAsia="ar-SA"/>
    </w:rPr>
  </w:style>
  <w:style w:type="paragraph" w:styleId="799" w:customStyle="1">
    <w:name w:val="Абзац"/>
    <w:basedOn w:val="775"/>
    <w:link w:val="800"/>
    <w:qFormat/>
    <w:pPr>
      <w:ind w:firstLine="567"/>
      <w:jc w:val="both"/>
      <w:spacing w:line="360" w:lineRule="auto"/>
    </w:pPr>
    <w:rPr>
      <w:rFonts w:eastAsia="Calibri"/>
      <w:color w:val="000000" w:themeColor="text1"/>
      <w:sz w:val="24"/>
      <w:szCs w:val="24"/>
      <w:lang w:eastAsia="ru-RU"/>
    </w:rPr>
  </w:style>
  <w:style w:type="character" w:styleId="800" w:customStyle="1">
    <w:name w:val="Абзац Знак"/>
    <w:link w:val="799"/>
    <w:qFormat/>
    <w:rPr>
      <w:rFonts w:ascii="Times New Roman" w:hAnsi="Times New Roman" w:eastAsia="Calibri" w:cs="Times New Roman"/>
      <w:color w:val="000000" w:themeColor="text1"/>
      <w:sz w:val="24"/>
      <w:szCs w:val="24"/>
      <w:lang w:eastAsia="ru-RU"/>
    </w:rPr>
  </w:style>
  <w:style w:type="paragraph" w:styleId="801">
    <w:name w:val="Footer"/>
    <w:basedOn w:val="775"/>
    <w:link w:val="802"/>
    <w:uiPriority w:val="99"/>
    <w:unhideWhenUsed/>
    <w:pPr>
      <w:ind w:left="1429"/>
      <w:widowControl/>
      <w:tabs>
        <w:tab w:val="center" w:pos="4677" w:leader="none"/>
        <w:tab w:val="right" w:pos="9355" w:leader="none"/>
      </w:tabs>
    </w:pPr>
    <w:rPr>
      <w:rFonts w:eastAsiaTheme="minorHAnsi"/>
    </w:rPr>
  </w:style>
  <w:style w:type="character" w:styleId="802" w:customStyle="1">
    <w:name w:val="Нижний колонтитул Знак"/>
    <w:basedOn w:val="785"/>
    <w:link w:val="801"/>
    <w:uiPriority w:val="99"/>
    <w:rPr>
      <w:rFonts w:ascii="Times New Roman" w:hAnsi="Times New Roman" w:cs="Times New Roman"/>
    </w:rPr>
  </w:style>
  <w:style w:type="table" w:styleId="803" w:customStyle="1">
    <w:name w:val="Сетка таблицы17"/>
    <w:basedOn w:val="786"/>
    <w:next w:val="797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04">
    <w:name w:val="Hyperlink"/>
    <w:uiPriority w:val="99"/>
    <w:unhideWhenUsed/>
    <w:rPr>
      <w:color w:val="0563c1" w:themeColor="hyperlink"/>
      <w:u w:val="single"/>
    </w:rPr>
  </w:style>
  <w:style w:type="paragraph" w:styleId="805">
    <w:name w:val="toc 1"/>
    <w:basedOn w:val="775"/>
    <w:next w:val="775"/>
    <w:uiPriority w:val="39"/>
    <w:unhideWhenUsed/>
    <w:pPr>
      <w:jc w:val="both"/>
      <w:spacing w:after="120"/>
      <w:tabs>
        <w:tab w:val="left" w:pos="284" w:leader="none"/>
        <w:tab w:val="right" w:pos="9911" w:leader="dot"/>
      </w:tabs>
    </w:pPr>
    <w:rPr>
      <w:rFonts w:ascii="Tahoma" w:hAnsi="Tahoma" w:cs="Tahoma"/>
      <w:bCs/>
      <w:sz w:val="24"/>
      <w:szCs w:val="24"/>
    </w:rPr>
  </w:style>
  <w:style w:type="paragraph" w:styleId="806">
    <w:name w:val="List"/>
    <w:basedOn w:val="775"/>
    <w:link w:val="807"/>
    <w:pPr>
      <w:numPr>
        <w:ilvl w:val="0"/>
        <w:numId w:val="4"/>
      </w:numPr>
      <w:jc w:val="both"/>
      <w:spacing w:after="60"/>
      <w:widowControl/>
    </w:pPr>
    <w:rPr>
      <w:rFonts w:ascii="Tahoma" w:hAnsi="Tahoma" w:cs="Tahoma" w:eastAsiaTheme="minorHAnsi"/>
      <w:sz w:val="24"/>
      <w:szCs w:val="24"/>
    </w:rPr>
  </w:style>
  <w:style w:type="character" w:styleId="807" w:customStyle="1">
    <w:name w:val="Список Знак"/>
    <w:link w:val="806"/>
    <w:rPr>
      <w:rFonts w:ascii="Tahoma" w:hAnsi="Tahoma" w:cs="Tahoma"/>
      <w:sz w:val="24"/>
      <w:szCs w:val="24"/>
    </w:rPr>
  </w:style>
  <w:style w:type="paragraph" w:styleId="808">
    <w:name w:val="Header"/>
    <w:basedOn w:val="775"/>
    <w:link w:val="80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09" w:customStyle="1">
    <w:name w:val="Верхний колонтитул Знак"/>
    <w:basedOn w:val="785"/>
    <w:link w:val="808"/>
    <w:uiPriority w:val="99"/>
    <w:rPr>
      <w:rFonts w:ascii="Times New Roman" w:hAnsi="Times New Roman" w:eastAsia="Times New Roman" w:cs="Times New Roman"/>
    </w:rPr>
  </w:style>
  <w:style w:type="paragraph" w:styleId="810">
    <w:name w:val="Balloon Text"/>
    <w:basedOn w:val="775"/>
    <w:link w:val="81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11" w:customStyle="1">
    <w:name w:val="Текст выноски Знак"/>
    <w:basedOn w:val="785"/>
    <w:link w:val="810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812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Times New Roman" w:cs="Times New Roman"/>
    </w:rPr>
  </w:style>
  <w:style w:type="paragraph" w:styleId="813">
    <w:name w:val="List Paragraph"/>
    <w:basedOn w:val="775"/>
    <w:uiPriority w:val="34"/>
    <w:qFormat/>
    <w:pPr>
      <w:contextualSpacing/>
      <w:ind w:left="720"/>
    </w:pPr>
  </w:style>
  <w:style w:type="paragraph" w:styleId="814">
    <w:name w:val="Normal (Web)"/>
    <w:basedOn w:val="775"/>
    <w:uiPriority w:val="99"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character" w:styleId="815">
    <w:name w:val="annotation reference"/>
    <w:basedOn w:val="785"/>
    <w:uiPriority w:val="99"/>
    <w:semiHidden/>
    <w:unhideWhenUsed/>
    <w:rPr>
      <w:sz w:val="16"/>
      <w:szCs w:val="16"/>
    </w:rPr>
  </w:style>
  <w:style w:type="paragraph" w:styleId="816">
    <w:name w:val="annotation text"/>
    <w:basedOn w:val="775"/>
    <w:link w:val="817"/>
    <w:uiPriority w:val="99"/>
    <w:semiHidden/>
    <w:unhideWhenUsed/>
    <w:rPr>
      <w:sz w:val="20"/>
      <w:szCs w:val="20"/>
    </w:rPr>
  </w:style>
  <w:style w:type="character" w:styleId="817" w:customStyle="1">
    <w:name w:val="Текст примечания Знак"/>
    <w:basedOn w:val="785"/>
    <w:link w:val="816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paragraph" w:styleId="818">
    <w:name w:val="annotation subject"/>
    <w:basedOn w:val="816"/>
    <w:next w:val="816"/>
    <w:link w:val="819"/>
    <w:uiPriority w:val="99"/>
    <w:semiHidden/>
    <w:unhideWhenUsed/>
    <w:rPr>
      <w:b/>
      <w:bCs/>
    </w:rPr>
  </w:style>
  <w:style w:type="character" w:styleId="819" w:customStyle="1">
    <w:name w:val="Тема примечания Знак"/>
    <w:basedOn w:val="817"/>
    <w:link w:val="818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820">
    <w:name w:val="footnote text"/>
    <w:basedOn w:val="775"/>
    <w:link w:val="821"/>
    <w:uiPriority w:val="99"/>
    <w:unhideWhenUsed/>
    <w:pPr>
      <w:widowControl/>
    </w:pPr>
    <w:rPr>
      <w:rFonts w:asciiTheme="minorHAnsi" w:hAnsiTheme="minorHAnsi" w:eastAsiaTheme="minorHAnsi" w:cstheme="minorBidi"/>
      <w:sz w:val="20"/>
      <w:szCs w:val="20"/>
    </w:rPr>
  </w:style>
  <w:style w:type="character" w:styleId="821" w:customStyle="1">
    <w:name w:val="Текст сноски Знак"/>
    <w:basedOn w:val="785"/>
    <w:link w:val="820"/>
    <w:uiPriority w:val="99"/>
    <w:rPr>
      <w:sz w:val="20"/>
      <w:szCs w:val="20"/>
    </w:rPr>
  </w:style>
  <w:style w:type="character" w:styleId="822">
    <w:name w:val="footnote reference"/>
    <w:basedOn w:val="785"/>
    <w:uiPriority w:val="99"/>
    <w:unhideWhenUsed/>
    <w:qFormat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customXml" Target="../customXml/item4.xml" /><Relationship Id="rId17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E2DAC058EC30A4397EDE9947434F430" ma:contentTypeVersion="0" ma:contentTypeDescription="Создание документа." ma:contentTypeScope="" ma:versionID="ae232017ca1e4437dca3304b049897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6CE891-E0E1-4346-B40D-FFC76C3D9CE9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A2CB7FD-88D0-418F-8451-679D4D25CA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335549-1012-4439-9554-7E93E9221A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6FFEA-CF60-45F0-880A-6C448DF99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Шефер Евгения Константиновна</dc:creator>
  <cp:keywords/>
  <dc:description/>
  <cp:lastModifiedBy>muzaleva</cp:lastModifiedBy>
  <cp:revision>4</cp:revision>
  <dcterms:created xsi:type="dcterms:W3CDTF">2026-06-09T09:26:00Z</dcterms:created>
  <dcterms:modified xsi:type="dcterms:W3CDTF">2026-06-11T02:24:14Z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0x0101008E2DAC058EC30A4397EDE9947434F430</vt:lpwstr>
  </property>
</Properties>
</file>